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91424B" w:rsidRPr="00155605" w:rsidTr="007A77F0">
        <w:tc>
          <w:tcPr>
            <w:tcW w:w="9004" w:type="dxa"/>
          </w:tcPr>
          <w:p w:rsidR="00D570F2" w:rsidRDefault="00D570F2" w:rsidP="00D570F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55605">
              <w:rPr>
                <w:b/>
                <w:sz w:val="28"/>
                <w:szCs w:val="28"/>
              </w:rPr>
              <w:t xml:space="preserve">ITER Organization Call for Expertise </w:t>
            </w:r>
            <w:r>
              <w:rPr>
                <w:b/>
                <w:sz w:val="28"/>
                <w:szCs w:val="28"/>
              </w:rPr>
              <w:t>IO/12/CFE/6783/BGD</w:t>
            </w:r>
          </w:p>
          <w:p w:rsidR="0091424B" w:rsidRPr="00D570F2" w:rsidRDefault="00D570F2" w:rsidP="00D570F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0A95">
              <w:rPr>
                <w:b/>
                <w:sz w:val="28"/>
                <w:szCs w:val="28"/>
              </w:rPr>
              <w:t xml:space="preserve">Services of an expert </w:t>
            </w:r>
            <w:r w:rsidRPr="00D66EE5">
              <w:rPr>
                <w:b/>
                <w:sz w:val="28"/>
                <w:szCs w:val="28"/>
              </w:rPr>
              <w:t>Engineer to provide support for design and structural analysis within Diagnostics Division</w:t>
            </w:r>
            <w:bookmarkStart w:id="0" w:name="_GoBack"/>
            <w:bookmarkEnd w:id="0"/>
          </w:p>
        </w:tc>
      </w:tr>
    </w:tbl>
    <w:p w:rsidR="0091424B" w:rsidRPr="00155605" w:rsidRDefault="0091424B" w:rsidP="0091424B">
      <w:pPr>
        <w:spacing w:before="120" w:after="120"/>
        <w:jc w:val="center"/>
        <w:rPr>
          <w:b/>
          <w:sz w:val="22"/>
          <w:szCs w:val="22"/>
        </w:rPr>
      </w:pPr>
    </w:p>
    <w:p w:rsidR="0091424B" w:rsidRPr="00155605" w:rsidRDefault="0091424B" w:rsidP="0091424B">
      <w:pPr>
        <w:pStyle w:val="Annexetitle"/>
        <w:pageBreakBefore w:val="0"/>
      </w:pPr>
      <w:r w:rsidRPr="00155605">
        <w:t>FINANCIAL PROPOSAL</w:t>
      </w:r>
    </w:p>
    <w:p w:rsidR="0091424B" w:rsidRPr="00155605" w:rsidRDefault="0091424B" w:rsidP="0091424B">
      <w:pPr>
        <w:spacing w:before="240" w:after="120"/>
        <w:ind w:left="-142" w:firstLine="839"/>
        <w:jc w:val="left"/>
        <w:rPr>
          <w:b/>
          <w:szCs w:val="24"/>
        </w:rPr>
      </w:pPr>
    </w:p>
    <w:p w:rsidR="0091424B" w:rsidRPr="00155605" w:rsidRDefault="0091424B" w:rsidP="0091424B">
      <w:pPr>
        <w:spacing w:before="240" w:after="120"/>
        <w:ind w:left="-142"/>
        <w:jc w:val="left"/>
        <w:rPr>
          <w:b/>
          <w:szCs w:val="24"/>
        </w:rPr>
      </w:pPr>
      <w:r w:rsidRPr="00155605">
        <w:rPr>
          <w:b/>
          <w:szCs w:val="24"/>
        </w:rPr>
        <w:t xml:space="preserve">Name of </w:t>
      </w:r>
      <w:r w:rsidR="00CB001B">
        <w:rPr>
          <w:b/>
          <w:szCs w:val="24"/>
        </w:rPr>
        <w:t>Expert</w:t>
      </w:r>
      <w:r w:rsidRPr="00155605">
        <w:rPr>
          <w:b/>
          <w:szCs w:val="24"/>
        </w:rPr>
        <w:t>:</w:t>
      </w:r>
    </w:p>
    <w:tbl>
      <w:tblPr>
        <w:tblStyle w:val="TableGrid1"/>
        <w:tblpPr w:leftFromText="180" w:rightFromText="180" w:vertAnchor="text" w:horzAnchor="margin" w:tblpY="38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417"/>
        <w:gridCol w:w="1418"/>
        <w:gridCol w:w="1701"/>
      </w:tblGrid>
      <w:tr w:rsidR="00CB001B" w:rsidRPr="00155605" w:rsidTr="00CB001B">
        <w:trPr>
          <w:trHeight w:val="413"/>
        </w:trPr>
        <w:tc>
          <w:tcPr>
            <w:tcW w:w="1526" w:type="dxa"/>
            <w:vMerge w:val="restart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155605">
              <w:rPr>
                <w:rFonts w:eastAsia="Calibri" w:cs="Times New Roman"/>
                <w:b/>
                <w:sz w:val="22"/>
                <w:lang w:val="en-US"/>
              </w:rPr>
              <w:t>Duration</w:t>
            </w:r>
          </w:p>
        </w:tc>
        <w:tc>
          <w:tcPr>
            <w:tcW w:w="2268" w:type="dxa"/>
            <w:vMerge w:val="restart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>Description</w:t>
            </w:r>
          </w:p>
        </w:tc>
        <w:tc>
          <w:tcPr>
            <w:tcW w:w="2835" w:type="dxa"/>
            <w:gridSpan w:val="2"/>
            <w:vAlign w:val="center"/>
          </w:tcPr>
          <w:p w:rsidR="00CB001B" w:rsidRPr="00155605" w:rsidRDefault="00CB001B" w:rsidP="00CB001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 xml:space="preserve">Daily rate in € </w:t>
            </w:r>
            <w:proofErr w:type="spellStart"/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>incl</w:t>
            </w:r>
            <w:proofErr w:type="spellEnd"/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 xml:space="preserve"> all Costs.</w:t>
            </w:r>
          </w:p>
        </w:tc>
        <w:tc>
          <w:tcPr>
            <w:tcW w:w="1701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bCs/>
                <w:szCs w:val="24"/>
                <w:lang w:val="en-US"/>
              </w:rPr>
            </w:pPr>
            <w:r w:rsidRPr="00155605">
              <w:rPr>
                <w:rFonts w:eastAsia="Calibri" w:cs="Times New Roman"/>
                <w:b/>
                <w:bCs/>
                <w:szCs w:val="24"/>
                <w:lang w:val="en-US"/>
              </w:rPr>
              <w:t>Total</w:t>
            </w:r>
          </w:p>
        </w:tc>
      </w:tr>
      <w:tr w:rsidR="00CB001B" w:rsidRPr="00155605" w:rsidTr="00CB001B">
        <w:trPr>
          <w:trHeight w:val="412"/>
        </w:trPr>
        <w:tc>
          <w:tcPr>
            <w:tcW w:w="1526" w:type="dxa"/>
            <w:vMerge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2268" w:type="dxa"/>
            <w:vMerge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CB001B" w:rsidRPr="00155605" w:rsidRDefault="00CB001B" w:rsidP="00CB001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 w:cs="Times New Roman"/>
                <w:bCs/>
                <w:szCs w:val="24"/>
                <w:lang w:val="en-US"/>
              </w:rPr>
            </w:pPr>
            <w:r w:rsidRPr="00155605">
              <w:rPr>
                <w:rFonts w:eastAsia="Calibri" w:cs="Times New Roman"/>
                <w:bCs/>
                <w:szCs w:val="24"/>
                <w:lang w:val="en-US"/>
              </w:rPr>
              <w:t>On Site</w:t>
            </w:r>
          </w:p>
        </w:tc>
        <w:tc>
          <w:tcPr>
            <w:tcW w:w="1418" w:type="dxa"/>
            <w:vAlign w:val="center"/>
          </w:tcPr>
          <w:p w:rsidR="00CB001B" w:rsidRPr="00155605" w:rsidRDefault="00CB001B" w:rsidP="00CB001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 w:cs="Times New Roman"/>
                <w:bCs/>
                <w:szCs w:val="24"/>
                <w:lang w:val="en-US"/>
              </w:rPr>
            </w:pPr>
            <w:r w:rsidRPr="00155605">
              <w:rPr>
                <w:rFonts w:eastAsia="Calibri" w:cs="Times New Roman"/>
                <w:bCs/>
                <w:szCs w:val="24"/>
                <w:lang w:val="en-US"/>
              </w:rPr>
              <w:t>Off Site</w:t>
            </w:r>
          </w:p>
        </w:tc>
        <w:tc>
          <w:tcPr>
            <w:tcW w:w="1701" w:type="dxa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Cs/>
                <w:szCs w:val="24"/>
                <w:lang w:val="en-US"/>
              </w:rPr>
            </w:pPr>
          </w:p>
        </w:tc>
      </w:tr>
      <w:tr w:rsidR="00CB001B" w:rsidRPr="00155605" w:rsidTr="00CB001B">
        <w:trPr>
          <w:trHeight w:val="417"/>
        </w:trPr>
        <w:tc>
          <w:tcPr>
            <w:tcW w:w="1526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Year 1</w:t>
            </w:r>
          </w:p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(220 days)</w:t>
            </w:r>
          </w:p>
        </w:tc>
        <w:tc>
          <w:tcPr>
            <w:tcW w:w="2268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expert</w:t>
            </w:r>
          </w:p>
        </w:tc>
        <w:tc>
          <w:tcPr>
            <w:tcW w:w="1417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701" w:type="dxa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</w:tr>
      <w:tr w:rsidR="00CB001B" w:rsidRPr="00155605" w:rsidTr="00CB001B">
        <w:trPr>
          <w:trHeight w:val="397"/>
        </w:trPr>
        <w:tc>
          <w:tcPr>
            <w:tcW w:w="1526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Year 2</w:t>
            </w:r>
          </w:p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155605">
              <w:rPr>
                <w:rFonts w:eastAsia="Calibri" w:cs="Times New Roman"/>
                <w:sz w:val="22"/>
                <w:lang w:val="en-US"/>
              </w:rPr>
              <w:t>(220 days)</w:t>
            </w:r>
          </w:p>
        </w:tc>
        <w:tc>
          <w:tcPr>
            <w:tcW w:w="2268" w:type="dxa"/>
            <w:vAlign w:val="center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>expert</w:t>
            </w:r>
          </w:p>
        </w:tc>
        <w:tc>
          <w:tcPr>
            <w:tcW w:w="1417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</w:tr>
      <w:tr w:rsidR="00CB001B" w:rsidRPr="00155605" w:rsidTr="00CB001B">
        <w:trPr>
          <w:trHeight w:val="397"/>
        </w:trPr>
        <w:tc>
          <w:tcPr>
            <w:tcW w:w="1526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2268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right"/>
              <w:rPr>
                <w:rFonts w:eastAsia="Calibri" w:cs="Times New Roman"/>
                <w:b/>
                <w:szCs w:val="24"/>
                <w:lang w:val="en-US"/>
              </w:rPr>
            </w:pPr>
            <w:r w:rsidRPr="00155605">
              <w:rPr>
                <w:rFonts w:eastAsia="Calibri" w:cs="Times New Roman"/>
                <w:b/>
                <w:szCs w:val="24"/>
                <w:lang w:val="en-US"/>
              </w:rPr>
              <w:t>TOTAL</w:t>
            </w:r>
          </w:p>
        </w:tc>
        <w:tc>
          <w:tcPr>
            <w:tcW w:w="1417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CB001B" w:rsidRPr="00155605" w:rsidRDefault="00CB001B" w:rsidP="00CB001B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</w:tr>
    </w:tbl>
    <w:p w:rsidR="00DB3EC1" w:rsidRDefault="00DB3EC1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7A77F0" w:rsidRDefault="007A77F0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7A77F0" w:rsidRDefault="007A77F0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7A77F0" w:rsidRDefault="007A77F0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7A77F0" w:rsidRDefault="007A77F0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CB001B" w:rsidRDefault="00CB001B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CB001B" w:rsidRPr="00155605" w:rsidRDefault="00CB001B" w:rsidP="00F825AE">
      <w:pPr>
        <w:spacing w:before="240" w:after="120"/>
        <w:ind w:left="-142"/>
        <w:jc w:val="left"/>
        <w:rPr>
          <w:szCs w:val="24"/>
          <w:u w:val="single"/>
        </w:rPr>
      </w:pPr>
    </w:p>
    <w:p w:rsidR="00F825AE" w:rsidRPr="00155605" w:rsidRDefault="00083065" w:rsidP="00F825AE">
      <w:pPr>
        <w:spacing w:before="240" w:after="120"/>
        <w:ind w:left="-142"/>
        <w:jc w:val="left"/>
        <w:rPr>
          <w:szCs w:val="24"/>
          <w:u w:val="single"/>
        </w:rPr>
      </w:pPr>
      <w:proofErr w:type="gramStart"/>
      <w:r w:rsidRPr="00155605">
        <w:rPr>
          <w:szCs w:val="24"/>
          <w:u w:val="single"/>
        </w:rPr>
        <w:t>NB :</w:t>
      </w:r>
      <w:proofErr w:type="gramEnd"/>
    </w:p>
    <w:p w:rsidR="00F825AE" w:rsidRPr="00155605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ON/SITE means t</w:t>
      </w:r>
      <w:r w:rsidR="00F825AE" w:rsidRPr="00155605">
        <w:rPr>
          <w:szCs w:val="24"/>
        </w:rPr>
        <w:t xml:space="preserve">he services are to be supplied at the ITER site in </w:t>
      </w:r>
      <w:proofErr w:type="spellStart"/>
      <w:r w:rsidR="00F825AE" w:rsidRPr="00155605">
        <w:rPr>
          <w:szCs w:val="24"/>
        </w:rPr>
        <w:t>Cadarache</w:t>
      </w:r>
      <w:proofErr w:type="spellEnd"/>
      <w:r w:rsidR="00F825AE" w:rsidRPr="00155605">
        <w:rPr>
          <w:szCs w:val="24"/>
        </w:rPr>
        <w:t>, France</w:t>
      </w:r>
      <w:r w:rsidRPr="00155605">
        <w:rPr>
          <w:szCs w:val="24"/>
        </w:rPr>
        <w:t>.</w:t>
      </w:r>
    </w:p>
    <w:p w:rsidR="003A063A" w:rsidRPr="00155605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OFF/SITE means the services can be supplied from the contactors office</w:t>
      </w:r>
      <w:r w:rsidR="00AE3132" w:rsidRPr="00155605">
        <w:rPr>
          <w:szCs w:val="24"/>
        </w:rPr>
        <w:t>/</w:t>
      </w:r>
      <w:r w:rsidRPr="00155605">
        <w:rPr>
          <w:szCs w:val="24"/>
        </w:rPr>
        <w:t xml:space="preserve"> site.  </w:t>
      </w:r>
    </w:p>
    <w:p w:rsidR="00083065" w:rsidRPr="0015560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Daily fee rates are calculated on the basis of days actually worked</w:t>
      </w:r>
      <w:r w:rsidR="001F3191" w:rsidRPr="00155605">
        <w:rPr>
          <w:szCs w:val="24"/>
        </w:rPr>
        <w:t>.</w:t>
      </w:r>
    </w:p>
    <w:p w:rsidR="00083065" w:rsidRPr="0015560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szCs w:val="24"/>
        </w:rPr>
      </w:pPr>
      <w:r w:rsidRPr="00155605">
        <w:rPr>
          <w:szCs w:val="24"/>
        </w:rPr>
        <w:t>For the purposes hereof, the daily rates are based on eight (8) working hours.</w:t>
      </w:r>
    </w:p>
    <w:p w:rsidR="00CB001B" w:rsidRPr="009E6943" w:rsidRDefault="00CB001B" w:rsidP="00CB001B">
      <w:pPr>
        <w:numPr>
          <w:ilvl w:val="0"/>
          <w:numId w:val="1"/>
        </w:numPr>
        <w:spacing w:before="240" w:after="120"/>
        <w:ind w:left="-142"/>
        <w:rPr>
          <w:szCs w:val="24"/>
        </w:rPr>
      </w:pPr>
      <w:r w:rsidRPr="009E6943">
        <w:rPr>
          <w:szCs w:val="24"/>
        </w:rPr>
        <w:t xml:space="preserve">Daily fee rates must include all expenses that are necessary to deliver the services including travel, accommodation, daily subsistence allowances and any other conceivable expenses. However, </w:t>
      </w:r>
      <w:r>
        <w:rPr>
          <w:szCs w:val="24"/>
        </w:rPr>
        <w:t>t</w:t>
      </w:r>
      <w:r w:rsidRPr="009E6943">
        <w:rPr>
          <w:szCs w:val="24"/>
        </w:rPr>
        <w:t>he contractor shall indicate in their financial proposal a separate budget line to cover all the expert’s costs to carry out these missions.</w:t>
      </w:r>
    </w:p>
    <w:p w:rsidR="0091424B" w:rsidRPr="00155605" w:rsidRDefault="0091424B"/>
    <w:p w:rsidR="0091424B" w:rsidRPr="00155605" w:rsidRDefault="0091424B"/>
    <w:p w:rsidR="0091424B" w:rsidRPr="00155605" w:rsidRDefault="0091424B">
      <w:r w:rsidRPr="00155605">
        <w:t>Date</w:t>
      </w:r>
    </w:p>
    <w:p w:rsidR="0091424B" w:rsidRPr="00155605" w:rsidRDefault="0091424B"/>
    <w:p w:rsidR="0091424B" w:rsidRPr="00155605" w:rsidRDefault="0091424B">
      <w:r w:rsidRPr="00155605">
        <w:t>Signature</w:t>
      </w:r>
    </w:p>
    <w:sectPr w:rsidR="0091424B" w:rsidRPr="00155605" w:rsidSect="0091424B"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B4" w:rsidRDefault="00EB52B4">
      <w:pPr>
        <w:spacing w:after="0"/>
      </w:pPr>
      <w:r>
        <w:separator/>
      </w:r>
    </w:p>
  </w:endnote>
  <w:endnote w:type="continuationSeparator" w:id="0">
    <w:p w:rsidR="00EB52B4" w:rsidRDefault="00EB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B4" w:rsidRDefault="00EB52B4">
      <w:pPr>
        <w:spacing w:after="0"/>
      </w:pPr>
      <w:r>
        <w:separator/>
      </w:r>
    </w:p>
  </w:footnote>
  <w:footnote w:type="continuationSeparator" w:id="0">
    <w:p w:rsidR="00EB52B4" w:rsidRDefault="00EB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05897"/>
    <w:rsid w:val="0001659F"/>
    <w:rsid w:val="00022D24"/>
    <w:rsid w:val="00083065"/>
    <w:rsid w:val="0008501F"/>
    <w:rsid w:val="000A00FE"/>
    <w:rsid w:val="000B2EB0"/>
    <w:rsid w:val="0012095D"/>
    <w:rsid w:val="00134DC1"/>
    <w:rsid w:val="00155605"/>
    <w:rsid w:val="00164E7F"/>
    <w:rsid w:val="001A6E39"/>
    <w:rsid w:val="001F3191"/>
    <w:rsid w:val="00210F8D"/>
    <w:rsid w:val="00262045"/>
    <w:rsid w:val="00265CA2"/>
    <w:rsid w:val="00271C87"/>
    <w:rsid w:val="00275355"/>
    <w:rsid w:val="00286883"/>
    <w:rsid w:val="002C2777"/>
    <w:rsid w:val="002F7447"/>
    <w:rsid w:val="00320998"/>
    <w:rsid w:val="00390D90"/>
    <w:rsid w:val="003A063A"/>
    <w:rsid w:val="003F66AB"/>
    <w:rsid w:val="00450919"/>
    <w:rsid w:val="004A3A03"/>
    <w:rsid w:val="004B0981"/>
    <w:rsid w:val="004C2879"/>
    <w:rsid w:val="00525DDF"/>
    <w:rsid w:val="00527E5E"/>
    <w:rsid w:val="00577F5C"/>
    <w:rsid w:val="00582B4D"/>
    <w:rsid w:val="005B3930"/>
    <w:rsid w:val="005C0AD5"/>
    <w:rsid w:val="005E574D"/>
    <w:rsid w:val="005F0C29"/>
    <w:rsid w:val="00605DA8"/>
    <w:rsid w:val="00652F2C"/>
    <w:rsid w:val="00674EA9"/>
    <w:rsid w:val="006A41FE"/>
    <w:rsid w:val="00731AB7"/>
    <w:rsid w:val="007A77F0"/>
    <w:rsid w:val="007C0CC3"/>
    <w:rsid w:val="00870F6B"/>
    <w:rsid w:val="00891585"/>
    <w:rsid w:val="008B2FEC"/>
    <w:rsid w:val="008B4A85"/>
    <w:rsid w:val="008C67AC"/>
    <w:rsid w:val="008E173E"/>
    <w:rsid w:val="0091424B"/>
    <w:rsid w:val="00976407"/>
    <w:rsid w:val="00991DE4"/>
    <w:rsid w:val="009A4253"/>
    <w:rsid w:val="00A138B0"/>
    <w:rsid w:val="00A14675"/>
    <w:rsid w:val="00A43DC3"/>
    <w:rsid w:val="00A6003B"/>
    <w:rsid w:val="00A81D76"/>
    <w:rsid w:val="00A82057"/>
    <w:rsid w:val="00AA29E8"/>
    <w:rsid w:val="00AB30CA"/>
    <w:rsid w:val="00AC2985"/>
    <w:rsid w:val="00AD2A5F"/>
    <w:rsid w:val="00AE0C57"/>
    <w:rsid w:val="00AE3132"/>
    <w:rsid w:val="00BD53B0"/>
    <w:rsid w:val="00BD6119"/>
    <w:rsid w:val="00C44BD6"/>
    <w:rsid w:val="00C54FBE"/>
    <w:rsid w:val="00CB001B"/>
    <w:rsid w:val="00CB05B2"/>
    <w:rsid w:val="00CB394C"/>
    <w:rsid w:val="00CD26BE"/>
    <w:rsid w:val="00CE7C33"/>
    <w:rsid w:val="00D570F2"/>
    <w:rsid w:val="00DA28AC"/>
    <w:rsid w:val="00DB36C5"/>
    <w:rsid w:val="00DB3EC1"/>
    <w:rsid w:val="00DF3124"/>
    <w:rsid w:val="00DF5043"/>
    <w:rsid w:val="00E11DEF"/>
    <w:rsid w:val="00E125CB"/>
    <w:rsid w:val="00E41FF3"/>
    <w:rsid w:val="00E9585B"/>
    <w:rsid w:val="00EB4181"/>
    <w:rsid w:val="00EB52B4"/>
    <w:rsid w:val="00EC23C5"/>
    <w:rsid w:val="00ED2130"/>
    <w:rsid w:val="00ED25A7"/>
    <w:rsid w:val="00F1594D"/>
    <w:rsid w:val="00F5673E"/>
    <w:rsid w:val="00F825A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4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4181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20998"/>
    <w:pPr>
      <w:spacing w:before="100" w:beforeAutospacing="1" w:after="100" w:afterAutospacing="1"/>
      <w:jc w:val="left"/>
    </w:pPr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4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4181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320998"/>
    <w:pPr>
      <w:spacing w:before="100" w:beforeAutospacing="1" w:after="100" w:afterAutospacing="1"/>
      <w:jc w:val="left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251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7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Giraud Berengere</cp:lastModifiedBy>
  <cp:revision>9</cp:revision>
  <cp:lastPrinted>2012-02-02T09:28:00Z</cp:lastPrinted>
  <dcterms:created xsi:type="dcterms:W3CDTF">2012-01-26T15:55:00Z</dcterms:created>
  <dcterms:modified xsi:type="dcterms:W3CDTF">2012-02-02T09:28:00Z</dcterms:modified>
</cp:coreProperties>
</file>