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23556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BE759F">
              <w:rPr>
                <w:b/>
                <w:sz w:val="28"/>
                <w:szCs w:val="28"/>
              </w:rPr>
              <w:t>11</w:t>
            </w:r>
            <w:r w:rsidR="0023556C">
              <w:rPr>
                <w:b/>
                <w:sz w:val="28"/>
                <w:szCs w:val="28"/>
              </w:rPr>
              <w:t>64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Est</w:t>
            </w:r>
            <w:r w:rsidR="00A33FB2">
              <w:rPr>
                <w:rFonts w:eastAsia="Calibri"/>
                <w:b/>
                <w:sz w:val="22"/>
                <w:lang w:val="en-US"/>
              </w:rPr>
              <w:t>.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23556C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Expert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3556C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3556C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Option 1 – 6 months</w:t>
            </w:r>
          </w:p>
        </w:tc>
        <w:tc>
          <w:tcPr>
            <w:tcW w:w="1417" w:type="dxa"/>
            <w:vAlign w:val="center"/>
          </w:tcPr>
          <w:p w:rsidR="0023556C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Expert</w:t>
            </w:r>
          </w:p>
        </w:tc>
        <w:tc>
          <w:tcPr>
            <w:tcW w:w="1134" w:type="dxa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556C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3556C" w:rsidRDefault="0023556C" w:rsidP="0023556C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3556C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3556C" w:rsidRDefault="0023556C" w:rsidP="00A33FB2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Option </w:t>
            </w:r>
            <w:r w:rsidR="00A33FB2">
              <w:rPr>
                <w:rFonts w:eastAsia="Calibri"/>
                <w:sz w:val="22"/>
                <w:lang w:val="en-US"/>
              </w:rPr>
              <w:t>2</w:t>
            </w:r>
            <w:r>
              <w:rPr>
                <w:rFonts w:eastAsia="Calibri"/>
                <w:sz w:val="22"/>
                <w:lang w:val="en-US"/>
              </w:rPr>
              <w:t xml:space="preserve"> – 6 months </w:t>
            </w:r>
          </w:p>
        </w:tc>
        <w:tc>
          <w:tcPr>
            <w:tcW w:w="1417" w:type="dxa"/>
            <w:vAlign w:val="center"/>
          </w:tcPr>
          <w:p w:rsidR="0023556C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Expert</w:t>
            </w:r>
          </w:p>
        </w:tc>
        <w:tc>
          <w:tcPr>
            <w:tcW w:w="1134" w:type="dxa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556C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3556C" w:rsidRDefault="0023556C" w:rsidP="0023556C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3556C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3556C" w:rsidRPr="00870F6B" w:rsidRDefault="0023556C" w:rsidP="0023556C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23556C" w:rsidRPr="00CA35BA" w:rsidRDefault="0023556C" w:rsidP="0023556C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3556C" w:rsidRPr="00CA35BA" w:rsidRDefault="0023556C" w:rsidP="0023556C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23556C" w:rsidRPr="00870F6B" w:rsidRDefault="004155B4" w:rsidP="0023556C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23556C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3556C" w:rsidRPr="00005897" w:rsidRDefault="0023556C" w:rsidP="0023556C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662E34" w:rsidRDefault="00A33FB2" w:rsidP="00662E34">
    <w:pPr>
      <w:pStyle w:val="Header"/>
      <w:jc w:val="center"/>
      <w:rPr>
        <w:sz w:val="28"/>
        <w:szCs w:val="28"/>
      </w:rPr>
    </w:pPr>
    <w:r w:rsidRPr="00A33FB2">
      <w:rPr>
        <w:b/>
        <w:sz w:val="28"/>
        <w:szCs w:val="28"/>
      </w:rPr>
      <w:t>Lifting and Handling Expert Services</w:t>
    </w:r>
    <w:r w:rsidR="00662E34" w:rsidRPr="00662E34">
      <w:rPr>
        <w:b/>
        <w:sz w:val="28"/>
        <w:szCs w:val="28"/>
      </w:rPr>
      <w:t xml:space="preserve"> </w:t>
    </w:r>
    <w:r w:rsidR="001A588B" w:rsidRPr="00662E34">
      <w:rPr>
        <w:b/>
        <w:sz w:val="28"/>
        <w:szCs w:val="28"/>
      </w:rPr>
      <w:fldChar w:fldCharType="begin"/>
    </w:r>
    <w:r w:rsidR="001A588B" w:rsidRPr="00662E34">
      <w:rPr>
        <w:b/>
        <w:sz w:val="28"/>
        <w:szCs w:val="28"/>
      </w:rPr>
      <w:instrText xml:space="preserve"> TITLE  \* MERGEFORMAT </w:instrText>
    </w:r>
    <w:r w:rsidR="001A588B" w:rsidRPr="00662E3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868A1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556C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5B4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33FB2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3</cp:revision>
  <cp:lastPrinted>2014-09-05T14:25:00Z</cp:lastPrinted>
  <dcterms:created xsi:type="dcterms:W3CDTF">2014-11-17T12:40:00Z</dcterms:created>
  <dcterms:modified xsi:type="dcterms:W3CDTF">2014-11-17T13:07:00Z</dcterms:modified>
</cp:coreProperties>
</file>