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104F2C" w:rsidRPr="00155605" w:rsidTr="00104F2C">
        <w:trPr>
          <w:trHeight w:val="517"/>
        </w:trPr>
        <w:tc>
          <w:tcPr>
            <w:tcW w:w="9004" w:type="dxa"/>
            <w:vAlign w:val="center"/>
          </w:tcPr>
          <w:p w:rsidR="00104F2C" w:rsidRPr="00D570F2" w:rsidRDefault="00104F2C" w:rsidP="00D844DE">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w:t>
            </w:r>
            <w:r w:rsidR="00D844DE">
              <w:rPr>
                <w:b/>
                <w:sz w:val="28"/>
                <w:szCs w:val="28"/>
              </w:rPr>
              <w:t>7</w:t>
            </w:r>
            <w:r>
              <w:rPr>
                <w:b/>
                <w:sz w:val="28"/>
                <w:szCs w:val="28"/>
              </w:rPr>
              <w:t>/CFE/13</w:t>
            </w:r>
            <w:r w:rsidR="00D844DE">
              <w:rPr>
                <w:b/>
                <w:sz w:val="28"/>
                <w:szCs w:val="28"/>
              </w:rPr>
              <w:t>758</w:t>
            </w:r>
            <w:r>
              <w:rPr>
                <w:b/>
                <w:sz w:val="28"/>
                <w:szCs w:val="28"/>
              </w:rPr>
              <w:t>/JTR</w:t>
            </w:r>
          </w:p>
        </w:tc>
      </w:tr>
    </w:tbl>
    <w:p w:rsidR="00104F2C" w:rsidRDefault="00104F2C" w:rsidP="00104F2C">
      <w:pPr>
        <w:pStyle w:val="Annexetitle"/>
      </w:pPr>
    </w:p>
    <w:p w:rsidR="00A556EB" w:rsidRDefault="00A556EB" w:rsidP="00104F2C">
      <w:pPr>
        <w:pStyle w:val="Annexetitle"/>
      </w:pPr>
    </w:p>
    <w:p w:rsidR="00104F2C" w:rsidRPr="00104F2C" w:rsidRDefault="0091424B" w:rsidP="00104F2C">
      <w:pPr>
        <w:pStyle w:val="Annexetitle"/>
      </w:pPr>
      <w:r w:rsidRPr="00104F2C">
        <w:t>FINANCIAL PROPOSAL</w:t>
      </w:r>
      <w:r w:rsidR="00E733FF" w:rsidRPr="00104F2C">
        <w:t xml:space="preserve"> TEMPLATE</w:t>
      </w:r>
    </w:p>
    <w:p w:rsidR="00104F2C" w:rsidRPr="00104F2C" w:rsidRDefault="00104F2C" w:rsidP="00D17E3D">
      <w:pPr>
        <w:keepNext/>
        <w:spacing w:before="240" w:after="0"/>
        <w:rPr>
          <w:rFonts w:eastAsia="SimSun"/>
          <w:b/>
          <w:szCs w:val="24"/>
          <w:u w:val="single"/>
          <w:lang w:eastAsia="en-US"/>
        </w:rPr>
      </w:pPr>
      <w:r w:rsidRPr="00104F2C">
        <w:rPr>
          <w:rFonts w:eastAsia="SimSun"/>
          <w:b/>
          <w:szCs w:val="24"/>
          <w:u w:val="single"/>
          <w:lang w:eastAsia="en-US"/>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D17E3D" w:rsidP="00DB00C5">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A556EB" w:rsidRDefault="00A556EB"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9747" w:type="dxa"/>
        <w:tblCellMar>
          <w:left w:w="0" w:type="dxa"/>
          <w:right w:w="0" w:type="dxa"/>
        </w:tblCellMar>
        <w:tblLook w:val="04A0" w:firstRow="1" w:lastRow="0" w:firstColumn="1" w:lastColumn="0" w:noHBand="0" w:noVBand="1"/>
      </w:tblPr>
      <w:tblGrid>
        <w:gridCol w:w="675"/>
        <w:gridCol w:w="6521"/>
        <w:gridCol w:w="1134"/>
        <w:gridCol w:w="1417"/>
      </w:tblGrid>
      <w:tr w:rsidR="00D844DE" w:rsidRPr="00D844DE" w:rsidTr="005E11F5">
        <w:trPr>
          <w:trHeight w:val="321"/>
        </w:trPr>
        <w:tc>
          <w:tcPr>
            <w:tcW w:w="675"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D844DE" w:rsidRPr="00D844DE" w:rsidRDefault="00D844DE" w:rsidP="00D844DE">
            <w:pPr>
              <w:spacing w:before="100" w:beforeAutospacing="1" w:after="100" w:afterAutospacing="1"/>
              <w:jc w:val="center"/>
              <w:rPr>
                <w:rFonts w:eastAsia="Calibri"/>
                <w:b/>
                <w:szCs w:val="24"/>
                <w:lang w:eastAsia="en-US"/>
              </w:rPr>
            </w:pPr>
            <w:r w:rsidRPr="00D844DE">
              <w:rPr>
                <w:rFonts w:eastAsia="Calibri"/>
                <w:b/>
                <w:szCs w:val="24"/>
                <w:lang w:eastAsia="en-US"/>
              </w:rPr>
              <w:t>D#</w:t>
            </w:r>
          </w:p>
        </w:tc>
        <w:tc>
          <w:tcPr>
            <w:tcW w:w="6521" w:type="dxa"/>
            <w:tcBorders>
              <w:top w:val="single" w:sz="8" w:space="0" w:color="auto"/>
              <w:left w:val="single" w:sz="4" w:space="0" w:color="auto"/>
              <w:bottom w:val="single" w:sz="8" w:space="0" w:color="auto"/>
              <w:right w:val="single" w:sz="8" w:space="0" w:color="auto"/>
            </w:tcBorders>
            <w:shd w:val="clear" w:color="auto" w:fill="FFFFFF"/>
          </w:tcPr>
          <w:p w:rsidR="00D844DE" w:rsidRPr="00D844DE" w:rsidRDefault="00D844DE" w:rsidP="00D844DE">
            <w:pPr>
              <w:spacing w:before="100" w:beforeAutospacing="1" w:after="100" w:afterAutospacing="1"/>
              <w:jc w:val="center"/>
              <w:rPr>
                <w:rFonts w:ascii="Calibri" w:eastAsia="Calibri" w:hAnsi="Calibri"/>
                <w:b/>
                <w:szCs w:val="24"/>
                <w:lang w:eastAsia="en-US"/>
              </w:rPr>
            </w:pPr>
            <w:r w:rsidRPr="00D844DE">
              <w:rPr>
                <w:rFonts w:eastAsia="平成明朝"/>
                <w:b/>
                <w:szCs w:val="24"/>
                <w:lang w:val="en-US" w:eastAsia="en-US"/>
              </w:rPr>
              <w:t>Deliverable</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44DE" w:rsidRPr="00D844DE" w:rsidRDefault="00D844DE" w:rsidP="00D844DE">
            <w:pPr>
              <w:spacing w:before="100" w:beforeAutospacing="1" w:after="100" w:afterAutospacing="1"/>
              <w:jc w:val="center"/>
              <w:rPr>
                <w:rFonts w:ascii="Calibri" w:eastAsia="Calibri" w:hAnsi="Calibri"/>
                <w:b/>
                <w:szCs w:val="24"/>
                <w:lang w:eastAsia="en-US"/>
              </w:rPr>
            </w:pPr>
            <w:r>
              <w:rPr>
                <w:rFonts w:eastAsia="平成明朝"/>
                <w:b/>
                <w:szCs w:val="24"/>
                <w:lang w:val="en-US" w:eastAsia="en-US"/>
              </w:rPr>
              <w:t xml:space="preserve">Est </w:t>
            </w:r>
            <w:r w:rsidRPr="00D844DE">
              <w:rPr>
                <w:rFonts w:eastAsia="平成明朝"/>
                <w:b/>
                <w:szCs w:val="24"/>
                <w:lang w:val="en-US" w:eastAsia="en-US"/>
              </w:rPr>
              <w:t>Due date</w:t>
            </w:r>
          </w:p>
        </w:tc>
        <w:tc>
          <w:tcPr>
            <w:tcW w:w="1417" w:type="dxa"/>
            <w:tcBorders>
              <w:top w:val="single" w:sz="8" w:space="0" w:color="auto"/>
              <w:left w:val="nil"/>
              <w:bottom w:val="single" w:sz="8" w:space="0" w:color="auto"/>
              <w:right w:val="single" w:sz="8" w:space="0" w:color="auto"/>
            </w:tcBorders>
            <w:shd w:val="clear" w:color="auto" w:fill="FFFFFF"/>
          </w:tcPr>
          <w:p w:rsidR="00D844DE" w:rsidRDefault="00D844DE" w:rsidP="005E11F5">
            <w:pPr>
              <w:spacing w:before="100" w:beforeAutospacing="1" w:after="100" w:afterAutospacing="1"/>
              <w:jc w:val="center"/>
              <w:rPr>
                <w:rFonts w:eastAsia="平成明朝"/>
                <w:b/>
                <w:szCs w:val="24"/>
                <w:lang w:val="en-US" w:eastAsia="en-US"/>
              </w:rPr>
            </w:pPr>
            <w:r>
              <w:rPr>
                <w:rFonts w:eastAsia="平成明朝"/>
                <w:b/>
                <w:szCs w:val="24"/>
                <w:lang w:val="en-US" w:eastAsia="en-US"/>
              </w:rPr>
              <w:t xml:space="preserve">Price </w:t>
            </w:r>
            <w:r w:rsidR="005E11F5">
              <w:rPr>
                <w:rFonts w:eastAsia="平成明朝"/>
                <w:b/>
                <w:szCs w:val="24"/>
                <w:lang w:val="en-US" w:eastAsia="en-US"/>
              </w:rPr>
              <w:t xml:space="preserve">   </w:t>
            </w:r>
            <w:r>
              <w:rPr>
                <w:rFonts w:eastAsia="平成明朝"/>
                <w:b/>
                <w:szCs w:val="24"/>
                <w:lang w:val="en-US" w:eastAsia="en-US"/>
              </w:rPr>
              <w:t>(EUR)</w:t>
            </w:r>
          </w:p>
        </w:tc>
      </w:tr>
      <w:tr w:rsidR="00D844DE" w:rsidRPr="00D844DE" w:rsidTr="005E11F5">
        <w:trPr>
          <w:trHeight w:val="307"/>
        </w:trPr>
        <w:tc>
          <w:tcPr>
            <w:tcW w:w="67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D844DE" w:rsidRPr="00D844DE" w:rsidRDefault="00D844DE" w:rsidP="00A556EB">
            <w:pPr>
              <w:shd w:val="clear" w:color="auto" w:fill="FFFFFF"/>
              <w:spacing w:after="0"/>
              <w:jc w:val="center"/>
              <w:rPr>
                <w:rFonts w:eastAsia="平成明朝"/>
                <w:szCs w:val="24"/>
                <w:lang w:eastAsia="en-US"/>
              </w:rPr>
            </w:pPr>
            <w:r w:rsidRPr="00D844DE">
              <w:rPr>
                <w:rFonts w:eastAsia="平成明朝"/>
                <w:szCs w:val="24"/>
                <w:lang w:eastAsia="en-US"/>
              </w:rPr>
              <w:t>D1</w:t>
            </w:r>
          </w:p>
        </w:tc>
        <w:tc>
          <w:tcPr>
            <w:tcW w:w="652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844DE" w:rsidRPr="00D844DE" w:rsidRDefault="00D844DE" w:rsidP="005E11F5">
            <w:pPr>
              <w:spacing w:before="120" w:after="120"/>
              <w:rPr>
                <w:rFonts w:eastAsia="平成明朝"/>
                <w:color w:val="000000"/>
                <w:szCs w:val="24"/>
                <w:lang w:eastAsia="en-US"/>
              </w:rPr>
            </w:pPr>
            <w:r w:rsidRPr="00D844DE">
              <w:rPr>
                <w:rFonts w:eastAsia="平成明朝"/>
                <w:color w:val="000000"/>
                <w:szCs w:val="24"/>
                <w:lang w:eastAsia="en-US"/>
              </w:rPr>
              <w:t xml:space="preserve">Completion of Generic Upper Port Plug with Short and Intermediate DSM. Analysis will consider also </w:t>
            </w:r>
            <w:proofErr w:type="spellStart"/>
            <w:r w:rsidRPr="00D844DE">
              <w:rPr>
                <w:rFonts w:eastAsia="平成明朝"/>
                <w:color w:val="000000"/>
                <w:szCs w:val="24"/>
                <w:lang w:eastAsia="en-US"/>
              </w:rPr>
              <w:t>Bioshield</w:t>
            </w:r>
            <w:proofErr w:type="spellEnd"/>
            <w:r w:rsidRPr="00D844DE">
              <w:rPr>
                <w:rFonts w:eastAsia="平成明朝"/>
                <w:color w:val="000000"/>
                <w:szCs w:val="24"/>
                <w:lang w:eastAsia="en-US"/>
              </w:rPr>
              <w:t xml:space="preserve"> and Upper Port Cell. Evaluation of the neutron/gamma fluxes and spectra as well estimation of the SDDR. Optimization of materials. Dose rate evaluation during plasma operation. Evaluation of final activation level for </w:t>
            </w:r>
            <w:proofErr w:type="spellStart"/>
            <w:r w:rsidRPr="00D844DE">
              <w:rPr>
                <w:rFonts w:eastAsia="平成明朝"/>
                <w:color w:val="000000"/>
                <w:szCs w:val="24"/>
                <w:lang w:eastAsia="en-US"/>
              </w:rPr>
              <w:t>Radwaste</w:t>
            </w:r>
            <w:proofErr w:type="spellEnd"/>
            <w:r w:rsidRPr="00D844DE">
              <w:rPr>
                <w:rFonts w:eastAsia="平成明朝"/>
                <w:color w:val="000000"/>
                <w:szCs w:val="24"/>
                <w:lang w:eastAsia="en-US"/>
              </w:rPr>
              <w:t>. To reduce future R&amp;D costs - development of the common design approach for radiation shielding applicable for upper port-based diagnostic systems in general</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D844DE">
            <w:pPr>
              <w:spacing w:before="100" w:beforeAutospacing="1" w:after="100" w:afterAutospacing="1"/>
              <w:jc w:val="center"/>
              <w:rPr>
                <w:rFonts w:ascii="Calibri" w:eastAsia="Calibri" w:hAnsi="Calibri"/>
                <w:sz w:val="22"/>
                <w:szCs w:val="22"/>
                <w:lang w:eastAsia="en-US"/>
              </w:rPr>
            </w:pPr>
            <w:r w:rsidRPr="00D844DE">
              <w:rPr>
                <w:rFonts w:eastAsia="平成明朝"/>
                <w:szCs w:val="24"/>
                <w:lang w:val="en-US" w:eastAsia="en-US"/>
              </w:rPr>
              <w:t>T.0 +3 months</w:t>
            </w:r>
          </w:p>
        </w:tc>
        <w:tc>
          <w:tcPr>
            <w:tcW w:w="1417" w:type="dxa"/>
            <w:tcBorders>
              <w:top w:val="nil"/>
              <w:left w:val="nil"/>
              <w:bottom w:val="single" w:sz="8" w:space="0" w:color="auto"/>
              <w:right w:val="single" w:sz="8" w:space="0" w:color="auto"/>
            </w:tcBorders>
            <w:shd w:val="clear" w:color="auto" w:fill="FFFFFF"/>
            <w:vAlign w:val="center"/>
          </w:tcPr>
          <w:p w:rsidR="00D844DE" w:rsidRPr="00D844DE" w:rsidRDefault="00D844DE" w:rsidP="00D844DE">
            <w:pPr>
              <w:spacing w:before="100" w:beforeAutospacing="1" w:after="100" w:afterAutospacing="1"/>
              <w:jc w:val="center"/>
              <w:rPr>
                <w:rFonts w:eastAsia="平成明朝"/>
                <w:szCs w:val="24"/>
                <w:lang w:val="en-US" w:eastAsia="en-US"/>
              </w:rPr>
            </w:pPr>
          </w:p>
        </w:tc>
      </w:tr>
      <w:tr w:rsidR="00D844DE" w:rsidRPr="00D844DE" w:rsidTr="005E11F5">
        <w:trPr>
          <w:trHeight w:val="32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A556EB">
            <w:pPr>
              <w:shd w:val="clear" w:color="auto" w:fill="FFFFFF"/>
              <w:spacing w:after="0"/>
              <w:jc w:val="center"/>
              <w:rPr>
                <w:rFonts w:eastAsia="平成明朝"/>
                <w:szCs w:val="24"/>
                <w:lang w:eastAsia="en-US"/>
              </w:rPr>
            </w:pPr>
            <w:r w:rsidRPr="00D844DE">
              <w:rPr>
                <w:rFonts w:eastAsia="平成明朝"/>
                <w:szCs w:val="24"/>
                <w:lang w:eastAsia="en-US"/>
              </w:rPr>
              <w:t>D2</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844DE" w:rsidRPr="00D844DE" w:rsidRDefault="00D844DE" w:rsidP="005E11F5">
            <w:pPr>
              <w:spacing w:before="120" w:after="120"/>
              <w:rPr>
                <w:rFonts w:eastAsia="平成明朝"/>
                <w:color w:val="000000"/>
                <w:szCs w:val="24"/>
                <w:lang w:eastAsia="en-US"/>
              </w:rPr>
            </w:pPr>
            <w:r w:rsidRPr="00D844DE">
              <w:rPr>
                <w:rFonts w:eastAsia="平成明朝"/>
                <w:color w:val="000000"/>
                <w:szCs w:val="24"/>
                <w:lang w:eastAsia="en-US"/>
              </w:rPr>
              <w:t>MCNP models for Port Plugs Integration of Upper Port 4</w:t>
            </w:r>
            <w:proofErr w:type="gramStart"/>
            <w:r w:rsidRPr="00D844DE">
              <w:rPr>
                <w:rFonts w:eastAsia="平成明朝"/>
                <w:color w:val="000000"/>
                <w:szCs w:val="24"/>
                <w:lang w:eastAsia="en-US"/>
              </w:rPr>
              <w:t>,5,6</w:t>
            </w:r>
            <w:proofErr w:type="gramEnd"/>
            <w:r w:rsidRPr="00D844DE">
              <w:rPr>
                <w:rFonts w:eastAsia="平成明朝"/>
                <w:color w:val="000000"/>
                <w:szCs w:val="24"/>
                <w:lang w:eastAsia="en-US"/>
              </w:rPr>
              <w:t xml:space="preserve"> including Vacuum Filter systems. Evaluation of neutron/gamma fluxes and spectra. Optimization of materials with low activation and high shielding characteristics. Dose rate evaluation during plasma operation and shutdown. Evaluation of final activation level for </w:t>
            </w:r>
            <w:proofErr w:type="spellStart"/>
            <w:r w:rsidRPr="00D844DE">
              <w:rPr>
                <w:rFonts w:eastAsia="平成明朝"/>
                <w:color w:val="000000"/>
                <w:szCs w:val="24"/>
                <w:lang w:eastAsia="en-US"/>
              </w:rPr>
              <w:t>Radwaste</w:t>
            </w:r>
            <w:proofErr w:type="spellEnd"/>
            <w:r w:rsidRPr="00D844DE">
              <w:rPr>
                <w:rFonts w:eastAsia="平成明朝"/>
                <w:color w:val="000000"/>
                <w:szCs w:val="24"/>
                <w:lang w:eastAsia="en-US"/>
              </w:rPr>
              <w:t>. Development of the maintenance scenario of the ports after shutdown, investigation of the questions of remote, semi-remote, or hands-on access to the systems installed inside the Port Interspace</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D844DE">
            <w:pPr>
              <w:spacing w:before="100" w:beforeAutospacing="1" w:after="100" w:afterAutospacing="1"/>
              <w:jc w:val="center"/>
              <w:rPr>
                <w:rFonts w:ascii="Calibri" w:eastAsia="Calibri" w:hAnsi="Calibri"/>
                <w:sz w:val="22"/>
                <w:szCs w:val="22"/>
                <w:lang w:eastAsia="en-US"/>
              </w:rPr>
            </w:pPr>
            <w:r w:rsidRPr="00D844DE">
              <w:rPr>
                <w:rFonts w:eastAsia="平成明朝"/>
                <w:szCs w:val="24"/>
                <w:lang w:val="en-US" w:eastAsia="en-US"/>
              </w:rPr>
              <w:t>T.0 + 6 months</w:t>
            </w:r>
          </w:p>
        </w:tc>
        <w:tc>
          <w:tcPr>
            <w:tcW w:w="1417" w:type="dxa"/>
            <w:tcBorders>
              <w:top w:val="nil"/>
              <w:left w:val="nil"/>
              <w:bottom w:val="single" w:sz="8" w:space="0" w:color="auto"/>
              <w:right w:val="single" w:sz="8" w:space="0" w:color="auto"/>
            </w:tcBorders>
            <w:shd w:val="clear" w:color="auto" w:fill="FFFFFF"/>
            <w:vAlign w:val="center"/>
          </w:tcPr>
          <w:p w:rsidR="00D844DE" w:rsidRPr="00D844DE" w:rsidRDefault="00D844DE" w:rsidP="00D844DE">
            <w:pPr>
              <w:spacing w:before="100" w:beforeAutospacing="1" w:after="100" w:afterAutospacing="1"/>
              <w:jc w:val="center"/>
              <w:rPr>
                <w:rFonts w:eastAsia="平成明朝"/>
                <w:szCs w:val="24"/>
                <w:lang w:val="en-US" w:eastAsia="en-US"/>
              </w:rPr>
            </w:pPr>
          </w:p>
        </w:tc>
      </w:tr>
      <w:tr w:rsidR="00D844DE" w:rsidRPr="00D844DE" w:rsidTr="005E11F5">
        <w:trPr>
          <w:trHeight w:val="32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A556EB">
            <w:pPr>
              <w:shd w:val="clear" w:color="auto" w:fill="FFFFFF"/>
              <w:spacing w:after="0"/>
              <w:jc w:val="center"/>
              <w:rPr>
                <w:rFonts w:eastAsia="平成明朝"/>
                <w:szCs w:val="24"/>
                <w:lang w:eastAsia="en-US"/>
              </w:rPr>
            </w:pPr>
            <w:r w:rsidRPr="00D844DE">
              <w:rPr>
                <w:rFonts w:eastAsia="平成明朝"/>
                <w:szCs w:val="24"/>
                <w:lang w:eastAsia="en-US"/>
              </w:rPr>
              <w:t>D3</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844DE" w:rsidRPr="00D844DE" w:rsidRDefault="00D844DE" w:rsidP="005E11F5">
            <w:pPr>
              <w:spacing w:before="120" w:after="120"/>
              <w:rPr>
                <w:rFonts w:eastAsia="平成明朝"/>
                <w:color w:val="000000"/>
                <w:szCs w:val="24"/>
                <w:lang w:eastAsia="en-US"/>
              </w:rPr>
            </w:pPr>
            <w:r w:rsidRPr="00D844DE">
              <w:rPr>
                <w:rFonts w:eastAsia="平成明朝"/>
                <w:color w:val="000000"/>
                <w:szCs w:val="24"/>
                <w:lang w:eastAsia="en-US"/>
              </w:rPr>
              <w:t xml:space="preserve">Design MCNP model of EQ#17 Port Plug and Port Interspace. Evaluation of neutron/gamma fluxes and spectra. Optimization of materials with low activation and high shielding characteristics. Dose rate evaluation during plasma operation and shutdown. Evaluation of final activation level for </w:t>
            </w:r>
            <w:proofErr w:type="spellStart"/>
            <w:r w:rsidRPr="00D844DE">
              <w:rPr>
                <w:rFonts w:eastAsia="平成明朝"/>
                <w:color w:val="000000"/>
                <w:szCs w:val="24"/>
                <w:lang w:eastAsia="en-US"/>
              </w:rPr>
              <w:t>Radwaste</w:t>
            </w:r>
            <w:proofErr w:type="spellEnd"/>
            <w:r w:rsidRPr="00D844DE">
              <w:rPr>
                <w:rFonts w:eastAsia="平成明朝"/>
                <w:color w:val="000000"/>
                <w:szCs w:val="24"/>
                <w:lang w:eastAsia="en-US"/>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D844DE">
            <w:pPr>
              <w:spacing w:before="100" w:beforeAutospacing="1" w:after="100" w:afterAutospacing="1"/>
              <w:jc w:val="center"/>
              <w:rPr>
                <w:rFonts w:ascii="Calibri" w:eastAsia="Calibri" w:hAnsi="Calibri"/>
                <w:sz w:val="22"/>
                <w:szCs w:val="22"/>
                <w:lang w:eastAsia="en-US"/>
              </w:rPr>
            </w:pPr>
            <w:r w:rsidRPr="00D844DE">
              <w:rPr>
                <w:rFonts w:eastAsia="平成明朝"/>
                <w:szCs w:val="24"/>
                <w:lang w:val="en-US" w:eastAsia="en-US"/>
              </w:rPr>
              <w:t>T.0 + 9 months</w:t>
            </w:r>
          </w:p>
        </w:tc>
        <w:tc>
          <w:tcPr>
            <w:tcW w:w="1417" w:type="dxa"/>
            <w:tcBorders>
              <w:top w:val="nil"/>
              <w:left w:val="nil"/>
              <w:bottom w:val="single" w:sz="8" w:space="0" w:color="auto"/>
              <w:right w:val="single" w:sz="8" w:space="0" w:color="auto"/>
            </w:tcBorders>
            <w:shd w:val="clear" w:color="auto" w:fill="FFFFFF"/>
            <w:vAlign w:val="center"/>
          </w:tcPr>
          <w:p w:rsidR="00D844DE" w:rsidRPr="00D844DE" w:rsidRDefault="00D844DE" w:rsidP="00D844DE">
            <w:pPr>
              <w:spacing w:before="100" w:beforeAutospacing="1" w:after="100" w:afterAutospacing="1"/>
              <w:jc w:val="center"/>
              <w:rPr>
                <w:rFonts w:eastAsia="平成明朝"/>
                <w:szCs w:val="24"/>
                <w:lang w:val="en-US" w:eastAsia="en-US"/>
              </w:rPr>
            </w:pPr>
          </w:p>
        </w:tc>
      </w:tr>
    </w:tbl>
    <w:p w:rsidR="00D844DE" w:rsidRDefault="00D844DE"/>
    <w:p w:rsidR="005E11F5" w:rsidRDefault="005E11F5"/>
    <w:tbl>
      <w:tblPr>
        <w:tblW w:w="9747" w:type="dxa"/>
        <w:tblCellMar>
          <w:left w:w="0" w:type="dxa"/>
          <w:right w:w="0" w:type="dxa"/>
        </w:tblCellMar>
        <w:tblLook w:val="04A0" w:firstRow="1" w:lastRow="0" w:firstColumn="1" w:lastColumn="0" w:noHBand="0" w:noVBand="1"/>
      </w:tblPr>
      <w:tblGrid>
        <w:gridCol w:w="675"/>
        <w:gridCol w:w="6517"/>
        <w:gridCol w:w="1134"/>
        <w:gridCol w:w="1421"/>
      </w:tblGrid>
      <w:tr w:rsidR="00D844DE" w:rsidRPr="00D844DE" w:rsidTr="005E11F5">
        <w:trPr>
          <w:trHeight w:val="336"/>
        </w:trPr>
        <w:tc>
          <w:tcPr>
            <w:tcW w:w="67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A556EB">
            <w:pPr>
              <w:shd w:val="clear" w:color="auto" w:fill="FFFFFF"/>
              <w:spacing w:after="0"/>
              <w:jc w:val="center"/>
              <w:rPr>
                <w:rFonts w:eastAsia="平成明朝"/>
                <w:szCs w:val="24"/>
                <w:lang w:eastAsia="en-US"/>
              </w:rPr>
            </w:pPr>
            <w:r w:rsidRPr="00D844DE">
              <w:rPr>
                <w:rFonts w:eastAsia="平成明朝"/>
                <w:szCs w:val="24"/>
                <w:lang w:eastAsia="en-US"/>
              </w:rPr>
              <w:t>D4</w:t>
            </w:r>
          </w:p>
        </w:tc>
        <w:tc>
          <w:tcPr>
            <w:tcW w:w="65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844DE" w:rsidRPr="00D844DE" w:rsidRDefault="00D844DE" w:rsidP="005E11F5">
            <w:pPr>
              <w:spacing w:before="120" w:after="0"/>
              <w:rPr>
                <w:rFonts w:eastAsia="平成明朝"/>
                <w:color w:val="000000"/>
                <w:szCs w:val="24"/>
                <w:shd w:val="clear" w:color="auto" w:fill="FFFFFF"/>
                <w:lang w:eastAsia="en-US"/>
              </w:rPr>
            </w:pPr>
            <w:r w:rsidRPr="00D844DE">
              <w:rPr>
                <w:rFonts w:eastAsia="平成明朝"/>
                <w:color w:val="000000"/>
                <w:szCs w:val="24"/>
                <w:shd w:val="clear" w:color="auto" w:fill="FFFFFF"/>
                <w:lang w:eastAsia="en-US"/>
              </w:rPr>
              <w:t xml:space="preserve">Design MCNP model of EQ#17 </w:t>
            </w:r>
            <w:proofErr w:type="spellStart"/>
            <w:r w:rsidRPr="00D844DE">
              <w:rPr>
                <w:rFonts w:eastAsia="平成明朝"/>
                <w:color w:val="000000"/>
                <w:szCs w:val="24"/>
                <w:shd w:val="clear" w:color="auto" w:fill="FFFFFF"/>
                <w:lang w:eastAsia="en-US"/>
              </w:rPr>
              <w:t>Bioshield</w:t>
            </w:r>
            <w:proofErr w:type="spellEnd"/>
            <w:r w:rsidRPr="00D844DE">
              <w:rPr>
                <w:rFonts w:eastAsia="平成明朝"/>
                <w:color w:val="000000"/>
                <w:szCs w:val="24"/>
                <w:shd w:val="clear" w:color="auto" w:fill="FFFFFF"/>
                <w:lang w:eastAsia="en-US"/>
              </w:rPr>
              <w:t xml:space="preserve"> and Port cell including PCSS. Evaluation of neutron/gamma fluxes and spectra. Optimization of materials with low activation and high shielding characteristics. Dose rate evaluation during plasma operation and shutdown. Evaluation of final activation level for </w:t>
            </w:r>
            <w:proofErr w:type="spellStart"/>
            <w:r w:rsidRPr="00D844DE">
              <w:rPr>
                <w:rFonts w:eastAsia="平成明朝"/>
                <w:color w:val="000000"/>
                <w:szCs w:val="24"/>
                <w:shd w:val="clear" w:color="auto" w:fill="FFFFFF"/>
                <w:lang w:eastAsia="en-US"/>
              </w:rPr>
              <w:t>Radwaste</w:t>
            </w:r>
            <w:proofErr w:type="spellEnd"/>
            <w:r w:rsidRPr="00D844DE">
              <w:rPr>
                <w:rFonts w:eastAsia="平成明朝"/>
                <w:color w:val="000000"/>
                <w:szCs w:val="24"/>
                <w:shd w:val="clear" w:color="auto" w:fill="FFFFFF"/>
                <w:lang w:eastAsia="en-US"/>
              </w:rPr>
              <w:t>.</w:t>
            </w:r>
          </w:p>
          <w:p w:rsidR="00D844DE" w:rsidRPr="00D844DE" w:rsidRDefault="00D844DE" w:rsidP="005E11F5">
            <w:pPr>
              <w:spacing w:after="120"/>
              <w:rPr>
                <w:rFonts w:eastAsia="平成明朝"/>
                <w:color w:val="000000"/>
                <w:szCs w:val="24"/>
                <w:lang w:eastAsia="en-US"/>
              </w:rPr>
            </w:pPr>
            <w:proofErr w:type="spellStart"/>
            <w:r w:rsidRPr="00D844DE">
              <w:rPr>
                <w:rFonts w:eastAsia="平成明朝"/>
                <w:color w:val="000000"/>
                <w:szCs w:val="24"/>
                <w:shd w:val="clear" w:color="auto" w:fill="FFFFFF"/>
                <w:lang w:eastAsia="en-US"/>
              </w:rPr>
              <w:t>Neutronic</w:t>
            </w:r>
            <w:proofErr w:type="spellEnd"/>
            <w:r w:rsidRPr="00D844DE">
              <w:rPr>
                <w:rFonts w:eastAsia="平成明朝"/>
                <w:color w:val="000000"/>
                <w:szCs w:val="24"/>
                <w:shd w:val="clear" w:color="auto" w:fill="FFFFFF"/>
                <w:lang w:eastAsia="en-US"/>
              </w:rPr>
              <w:t xml:space="preserve"> analysis for dose rate levels during manual/assisted maintenance activity for replacement or functionality check/control of subsystems in EQ#17.</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44DE" w:rsidRPr="00D844DE" w:rsidRDefault="00D844DE" w:rsidP="00D844DE">
            <w:pPr>
              <w:spacing w:before="100" w:beforeAutospacing="1" w:after="100" w:afterAutospacing="1"/>
              <w:jc w:val="center"/>
              <w:rPr>
                <w:rFonts w:ascii="Calibri" w:eastAsia="Calibri" w:hAnsi="Calibri"/>
                <w:sz w:val="22"/>
                <w:szCs w:val="22"/>
                <w:lang w:eastAsia="en-US"/>
              </w:rPr>
            </w:pPr>
            <w:r w:rsidRPr="00D844DE">
              <w:rPr>
                <w:rFonts w:eastAsia="平成明朝"/>
                <w:szCs w:val="24"/>
                <w:lang w:val="en-US" w:eastAsia="en-US"/>
              </w:rPr>
              <w:t>T.0 + 12 months</w:t>
            </w:r>
          </w:p>
        </w:tc>
        <w:tc>
          <w:tcPr>
            <w:tcW w:w="1421" w:type="dxa"/>
            <w:tcBorders>
              <w:top w:val="single" w:sz="4" w:space="0" w:color="auto"/>
              <w:left w:val="nil"/>
              <w:bottom w:val="single" w:sz="8" w:space="0" w:color="auto"/>
              <w:right w:val="single" w:sz="8" w:space="0" w:color="auto"/>
            </w:tcBorders>
            <w:shd w:val="clear" w:color="auto" w:fill="FFFFFF"/>
            <w:vAlign w:val="center"/>
          </w:tcPr>
          <w:p w:rsidR="00D844DE" w:rsidRPr="00D844DE" w:rsidRDefault="00D844DE" w:rsidP="00D844DE">
            <w:pPr>
              <w:spacing w:before="100" w:beforeAutospacing="1" w:after="100" w:afterAutospacing="1"/>
              <w:jc w:val="center"/>
              <w:rPr>
                <w:rFonts w:eastAsia="平成明朝"/>
                <w:szCs w:val="24"/>
                <w:lang w:val="en-US" w:eastAsia="en-US"/>
              </w:rPr>
            </w:pPr>
          </w:p>
        </w:tc>
      </w:tr>
      <w:tr w:rsidR="00D844DE" w:rsidTr="005E1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75" w:type="dxa"/>
          <w:trHeight w:val="531"/>
        </w:trPr>
        <w:tc>
          <w:tcPr>
            <w:tcW w:w="7651" w:type="dxa"/>
            <w:gridSpan w:val="2"/>
            <w:vAlign w:val="center"/>
          </w:tcPr>
          <w:p w:rsidR="00D844DE" w:rsidRPr="00394059" w:rsidRDefault="00D844DE" w:rsidP="00D844DE">
            <w:pPr>
              <w:spacing w:after="0"/>
              <w:jc w:val="center"/>
              <w:rPr>
                <w:b/>
              </w:rPr>
            </w:pPr>
            <w:r>
              <w:br w:type="page"/>
            </w:r>
            <w:r w:rsidR="00394059" w:rsidRPr="00394059">
              <w:rPr>
                <w:b/>
              </w:rPr>
              <w:t>TOTAL FIXED FIRM PRICE (EUR)</w:t>
            </w:r>
          </w:p>
        </w:tc>
        <w:tc>
          <w:tcPr>
            <w:tcW w:w="1421" w:type="dxa"/>
            <w:vAlign w:val="center"/>
          </w:tcPr>
          <w:p w:rsidR="00D844DE" w:rsidRDefault="00D844DE" w:rsidP="00D844DE">
            <w:pPr>
              <w:spacing w:after="0"/>
              <w:jc w:val="center"/>
            </w:pPr>
          </w:p>
        </w:tc>
      </w:tr>
    </w:tbl>
    <w:p w:rsidR="002101ED" w:rsidRDefault="002101ED"/>
    <w:p w:rsidR="00C82806" w:rsidRDefault="00F06306" w:rsidP="005D235E">
      <w:pPr>
        <w:spacing w:before="120" w:after="120"/>
        <w:rPr>
          <w:szCs w:val="24"/>
          <w:lang w:val="en-US"/>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w:t>
      </w:r>
      <w:r w:rsidR="005D235E">
        <w:rPr>
          <w:szCs w:val="24"/>
        </w:rPr>
        <w:t xml:space="preserve"> T</w:t>
      </w:r>
      <w:r w:rsidR="005D235E" w:rsidRPr="005D235E">
        <w:rPr>
          <w:szCs w:val="24"/>
        </w:rPr>
        <w:t xml:space="preserve">echnical Specification </w:t>
      </w:r>
      <w:r w:rsidR="00C82806" w:rsidRPr="00C82806">
        <w:rPr>
          <w:szCs w:val="24"/>
          <w:lang w:val="en-US"/>
        </w:rPr>
        <w:t>ITER_D_UBKKG7 v1.0 dated 12</w:t>
      </w:r>
      <w:r w:rsidR="00C82806" w:rsidRPr="00C82806">
        <w:rPr>
          <w:szCs w:val="24"/>
          <w:vertAlign w:val="superscript"/>
          <w:lang w:val="en-US"/>
        </w:rPr>
        <w:t>th</w:t>
      </w:r>
      <w:r w:rsidR="00C82806" w:rsidRPr="00C82806">
        <w:rPr>
          <w:szCs w:val="24"/>
          <w:lang w:val="en-US"/>
        </w:rPr>
        <w:t xml:space="preserve"> December 2016</w:t>
      </w:r>
      <w:r w:rsidR="00C82806">
        <w:rPr>
          <w:szCs w:val="24"/>
          <w:lang w:val="en-US"/>
        </w:rPr>
        <w:t>.</w:t>
      </w:r>
    </w:p>
    <w:p w:rsidR="00EB462B" w:rsidRPr="009C158F" w:rsidRDefault="009C158F" w:rsidP="005D235E">
      <w:pPr>
        <w:spacing w:before="120" w:after="12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 xml:space="preserve">nvoices may be submitted upon the satisfactory completion of the deliverables as stated in the table above. Payments will be made following the acceptance and approval by the IO responsible officer of the corresponding deliverable in accordance with the </w:t>
      </w:r>
      <w:r w:rsidR="005D235E">
        <w:rPr>
          <w:szCs w:val="24"/>
        </w:rPr>
        <w:t>T</w:t>
      </w:r>
      <w:r w:rsidR="005D235E" w:rsidRPr="005D235E">
        <w:rPr>
          <w:szCs w:val="24"/>
        </w:rPr>
        <w:t xml:space="preserve">echnical Specification </w:t>
      </w:r>
      <w:r w:rsidR="00C82806" w:rsidRPr="00C82806">
        <w:rPr>
          <w:szCs w:val="24"/>
          <w:lang w:val="en-US"/>
        </w:rPr>
        <w:t>ITER_D_UBKKG7 v1.0 dated 12</w:t>
      </w:r>
      <w:r w:rsidR="00C82806" w:rsidRPr="00C82806">
        <w:rPr>
          <w:szCs w:val="24"/>
          <w:vertAlign w:val="superscript"/>
          <w:lang w:val="en-US"/>
        </w:rPr>
        <w:t>th</w:t>
      </w:r>
      <w:r w:rsidR="00C82806" w:rsidRPr="00C82806">
        <w:rPr>
          <w:szCs w:val="24"/>
          <w:lang w:val="en-US"/>
        </w:rPr>
        <w:t xml:space="preserve"> December 2016</w:t>
      </w:r>
      <w:r w:rsidR="00C82806">
        <w:rPr>
          <w:szCs w:val="24"/>
          <w:lang w:val="en-US"/>
        </w:rPr>
        <w:t xml:space="preserve"> </w:t>
      </w:r>
      <w:bookmarkStart w:id="0" w:name="_GoBack"/>
      <w:bookmarkEnd w:id="0"/>
      <w:r w:rsidR="00EB462B" w:rsidRPr="009C158F">
        <w:rPr>
          <w:bCs/>
          <w:szCs w:val="24"/>
        </w:rPr>
        <w:t xml:space="preserve">and upon receipt of a correctly rendered invoice. </w:t>
      </w: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made by the bidder. </w:t>
      </w:r>
      <w:r w:rsidR="009D1CD9" w:rsidRPr="009C158F">
        <w:rPr>
          <w:bCs/>
          <w:szCs w:val="24"/>
        </w:rPr>
        <w:t xml:space="preserve"> </w:t>
      </w:r>
    </w:p>
    <w:p w:rsidR="00A556EB" w:rsidRDefault="00A556EB"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A556EB" w:rsidRDefault="00A556EB"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637B15">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637B15">
              <w:rPr>
                <w:b/>
                <w:sz w:val="28"/>
                <w:szCs w:val="28"/>
              </w:rPr>
              <w:t>7</w:t>
            </w:r>
            <w:r>
              <w:rPr>
                <w:b/>
                <w:sz w:val="28"/>
                <w:szCs w:val="28"/>
              </w:rPr>
              <w:t>/CFE/1</w:t>
            </w:r>
            <w:r w:rsidR="00637B15">
              <w:rPr>
                <w:b/>
                <w:sz w:val="28"/>
                <w:szCs w:val="28"/>
              </w:rPr>
              <w:t>3758</w:t>
            </w:r>
            <w:r>
              <w:rPr>
                <w:b/>
                <w:sz w:val="28"/>
                <w:szCs w:val="28"/>
              </w:rPr>
              <w:t>/JTR</w:t>
            </w:r>
          </w:p>
        </w:tc>
      </w:tr>
    </w:tbl>
    <w:p w:rsidR="009C158F" w:rsidRDefault="009C158F"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AC748F" w:rsidRDefault="00AC748F"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286223" w:rsidRPr="00286223" w:rsidRDefault="00F06306" w:rsidP="00286223">
      <w:pPr>
        <w:spacing w:before="120" w:after="12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example </w:t>
      </w:r>
      <w:proofErr w:type="gramStart"/>
      <w:r w:rsidR="00A943C6">
        <w:rPr>
          <w:szCs w:val="24"/>
        </w:rPr>
        <w:t>however</w:t>
      </w:r>
      <w:r w:rsidR="007D423D">
        <w:rPr>
          <w:szCs w:val="24"/>
        </w:rPr>
        <w:t>,</w:t>
      </w:r>
      <w:proofErr w:type="gramEnd"/>
      <w:r w:rsidR="00286223" w:rsidRPr="00286223">
        <w:rPr>
          <w:szCs w:val="24"/>
        </w:rPr>
        <w:t xml:space="preserve"> you may provide your own version or expand on the table below.  </w:t>
      </w:r>
    </w:p>
    <w:p w:rsidR="00AC748F" w:rsidRDefault="00AC748F" w:rsidP="00F06306">
      <w:pPr>
        <w:spacing w:before="120" w:after="120"/>
        <w:ind w:left="-147"/>
        <w:jc w:val="center"/>
        <w:rPr>
          <w:b/>
          <w:i/>
          <w:szCs w:val="24"/>
        </w:rPr>
      </w:pPr>
    </w:p>
    <w:p w:rsidR="00F06306" w:rsidRPr="00E853F6" w:rsidRDefault="00F06306" w:rsidP="008A0226">
      <w:pPr>
        <w:spacing w:after="0"/>
        <w:ind w:left="-147"/>
        <w:jc w:val="center"/>
        <w:rPr>
          <w:b/>
          <w:i/>
          <w:szCs w:val="24"/>
        </w:rPr>
      </w:pPr>
      <w:r w:rsidRPr="00E853F6">
        <w:rPr>
          <w:b/>
          <w:i/>
          <w:szCs w:val="24"/>
        </w:rPr>
        <w:t>Cost Breakdown Table</w:t>
      </w:r>
    </w:p>
    <w:tbl>
      <w:tblPr>
        <w:tblStyle w:val="TableGrid1"/>
        <w:tblpPr w:leftFromText="180" w:rightFromText="180" w:vertAnchor="text" w:horzAnchor="margin" w:tblpXSpec="center" w:tblpY="110"/>
        <w:tblW w:w="9180" w:type="dxa"/>
        <w:tblLayout w:type="fixed"/>
        <w:tblLook w:val="04A0" w:firstRow="1" w:lastRow="0" w:firstColumn="1" w:lastColumn="0" w:noHBand="0" w:noVBand="1"/>
      </w:tblPr>
      <w:tblGrid>
        <w:gridCol w:w="675"/>
        <w:gridCol w:w="7230"/>
        <w:gridCol w:w="1275"/>
      </w:tblGrid>
      <w:tr w:rsidR="00CE4150" w:rsidRPr="002101ED" w:rsidTr="00637B15">
        <w:trPr>
          <w:trHeight w:val="703"/>
        </w:trPr>
        <w:tc>
          <w:tcPr>
            <w:tcW w:w="675" w:type="dxa"/>
            <w:vAlign w:val="center"/>
          </w:tcPr>
          <w:p w:rsidR="00CE4150" w:rsidRPr="002101ED" w:rsidRDefault="00CE4150" w:rsidP="004F5EE8">
            <w:pPr>
              <w:spacing w:before="120" w:after="120"/>
              <w:jc w:val="center"/>
              <w:rPr>
                <w:rFonts w:cs="Times New Roman"/>
                <w:b/>
                <w:szCs w:val="24"/>
                <w:lang w:val="en-US" w:eastAsia="en-GB"/>
              </w:rPr>
            </w:pPr>
            <w:r w:rsidRPr="002101ED">
              <w:rPr>
                <w:rFonts w:cs="Times New Roman"/>
                <w:b/>
                <w:szCs w:val="24"/>
                <w:lang w:val="en-US" w:eastAsia="en-GB"/>
              </w:rPr>
              <w:t>D #</w:t>
            </w:r>
          </w:p>
        </w:tc>
        <w:tc>
          <w:tcPr>
            <w:tcW w:w="7230" w:type="dxa"/>
            <w:vAlign w:val="center"/>
          </w:tcPr>
          <w:p w:rsidR="00CE4150" w:rsidRPr="002101ED" w:rsidRDefault="00CE4150" w:rsidP="00286223">
            <w:pPr>
              <w:spacing w:before="120" w:after="120"/>
              <w:jc w:val="center"/>
              <w:rPr>
                <w:rFonts w:cs="Times New Roman"/>
                <w:b/>
                <w:szCs w:val="24"/>
                <w:lang w:val="en-US" w:eastAsia="en-GB"/>
              </w:rPr>
            </w:pPr>
            <w:r w:rsidRPr="002101ED">
              <w:rPr>
                <w:rFonts w:cs="Times New Roman"/>
                <w:b/>
                <w:szCs w:val="24"/>
                <w:lang w:val="en-US" w:eastAsia="en-GB"/>
              </w:rPr>
              <w:t xml:space="preserve">Description, and </w:t>
            </w:r>
            <w:r w:rsidR="00286223">
              <w:rPr>
                <w:rFonts w:cs="Times New Roman"/>
                <w:b/>
                <w:szCs w:val="24"/>
                <w:lang w:val="en-US" w:eastAsia="en-GB"/>
              </w:rPr>
              <w:t>N</w:t>
            </w:r>
            <w:r w:rsidRPr="002101ED">
              <w:rPr>
                <w:rFonts w:cs="Times New Roman"/>
                <w:b/>
                <w:szCs w:val="24"/>
                <w:lang w:val="en-US" w:eastAsia="en-GB"/>
              </w:rPr>
              <w:t>umber of Resources</w:t>
            </w:r>
            <w:r w:rsidR="00286223">
              <w:rPr>
                <w:rFonts w:cs="Times New Roman"/>
                <w:b/>
                <w:szCs w:val="24"/>
                <w:lang w:val="en-US" w:eastAsia="en-GB"/>
              </w:rPr>
              <w:t xml:space="preserve">/ Unit of Time </w:t>
            </w:r>
          </w:p>
        </w:tc>
        <w:tc>
          <w:tcPr>
            <w:tcW w:w="1275" w:type="dxa"/>
            <w:vAlign w:val="center"/>
          </w:tcPr>
          <w:p w:rsidR="00CE4150" w:rsidRPr="002101ED" w:rsidRDefault="00CE4150" w:rsidP="00637B15">
            <w:pPr>
              <w:spacing w:before="120" w:after="120"/>
              <w:jc w:val="center"/>
              <w:rPr>
                <w:rFonts w:cs="Times New Roman"/>
                <w:b/>
                <w:bCs/>
                <w:szCs w:val="24"/>
                <w:lang w:val="en-US" w:eastAsia="en-GB"/>
              </w:rPr>
            </w:pPr>
            <w:r w:rsidRPr="002101ED">
              <w:rPr>
                <w:rFonts w:cs="Times New Roman"/>
                <w:b/>
                <w:bCs/>
                <w:szCs w:val="24"/>
                <w:lang w:val="en-US" w:eastAsia="en-GB"/>
              </w:rPr>
              <w:t xml:space="preserve">Cost </w:t>
            </w:r>
            <w:r w:rsidR="00637B15">
              <w:rPr>
                <w:rFonts w:cs="Times New Roman"/>
                <w:b/>
                <w:bCs/>
                <w:szCs w:val="24"/>
                <w:lang w:val="en-US" w:eastAsia="en-GB"/>
              </w:rPr>
              <w:t xml:space="preserve"> </w:t>
            </w:r>
            <w:r w:rsidRPr="002101ED">
              <w:rPr>
                <w:rFonts w:cs="Times New Roman"/>
                <w:b/>
                <w:bCs/>
                <w:szCs w:val="24"/>
                <w:lang w:val="en-US" w:eastAsia="en-GB"/>
              </w:rPr>
              <w:t>(EUR)</w:t>
            </w:r>
          </w:p>
        </w:tc>
      </w:tr>
      <w:tr w:rsidR="00CE4150" w:rsidRPr="002101ED" w:rsidTr="00637B15">
        <w:trPr>
          <w:trHeight w:val="406"/>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1</w:t>
            </w:r>
          </w:p>
        </w:tc>
        <w:tc>
          <w:tcPr>
            <w:tcW w:w="7230" w:type="dxa"/>
            <w:vAlign w:val="center"/>
          </w:tcPr>
          <w:p w:rsidR="00CE4150" w:rsidRPr="002101ED" w:rsidRDefault="00CE4150" w:rsidP="00CE4150">
            <w:pPr>
              <w:spacing w:before="120" w:after="120"/>
              <w:rPr>
                <w:rFonts w:cs="Times New Roman"/>
                <w:szCs w:val="24"/>
                <w:lang w:val="en-US" w:eastAsia="en-GB"/>
              </w:rPr>
            </w:pPr>
          </w:p>
        </w:tc>
        <w:tc>
          <w:tcPr>
            <w:tcW w:w="1275"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637B15">
        <w:trPr>
          <w:trHeight w:val="412"/>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2</w:t>
            </w:r>
          </w:p>
        </w:tc>
        <w:tc>
          <w:tcPr>
            <w:tcW w:w="7230" w:type="dxa"/>
            <w:vAlign w:val="center"/>
          </w:tcPr>
          <w:p w:rsidR="00CE4150" w:rsidRPr="002101ED" w:rsidRDefault="00CE4150" w:rsidP="00CE4150">
            <w:pPr>
              <w:spacing w:before="120" w:after="120"/>
              <w:rPr>
                <w:rFonts w:cs="Times New Roman"/>
                <w:szCs w:val="24"/>
                <w:lang w:val="en-US" w:eastAsia="en-GB"/>
              </w:rPr>
            </w:pPr>
          </w:p>
        </w:tc>
        <w:tc>
          <w:tcPr>
            <w:tcW w:w="1275"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637B15">
        <w:trPr>
          <w:trHeight w:val="418"/>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3</w:t>
            </w:r>
          </w:p>
        </w:tc>
        <w:tc>
          <w:tcPr>
            <w:tcW w:w="7230" w:type="dxa"/>
            <w:vAlign w:val="center"/>
          </w:tcPr>
          <w:p w:rsidR="00CE4150" w:rsidRPr="002101ED" w:rsidRDefault="00CE4150" w:rsidP="00CE4150">
            <w:pPr>
              <w:spacing w:before="120" w:after="120"/>
              <w:rPr>
                <w:rFonts w:cs="Times New Roman"/>
                <w:szCs w:val="24"/>
                <w:lang w:val="en-US" w:eastAsia="en-GB"/>
              </w:rPr>
            </w:pPr>
          </w:p>
        </w:tc>
        <w:tc>
          <w:tcPr>
            <w:tcW w:w="1275"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637B15">
        <w:trPr>
          <w:trHeight w:val="410"/>
        </w:trPr>
        <w:tc>
          <w:tcPr>
            <w:tcW w:w="675" w:type="dxa"/>
            <w:tcBorders>
              <w:bottom w:val="single" w:sz="4" w:space="0" w:color="auto"/>
            </w:tcBorders>
            <w:vAlign w:val="center"/>
          </w:tcPr>
          <w:p w:rsidR="00CE4150" w:rsidRPr="002101ED" w:rsidRDefault="00CE4150" w:rsidP="004F5EE8">
            <w:pPr>
              <w:spacing w:before="120" w:after="120"/>
              <w:jc w:val="center"/>
              <w:rPr>
                <w:rFonts w:cs="Times New Roman"/>
                <w:szCs w:val="24"/>
                <w:lang w:val="en-US" w:eastAsia="en-GB"/>
              </w:rPr>
            </w:pPr>
            <w:r w:rsidRPr="002101ED">
              <w:rPr>
                <w:rFonts w:cs="Times New Roman"/>
                <w:szCs w:val="24"/>
                <w:lang w:val="en-US" w:eastAsia="en-GB"/>
              </w:rPr>
              <w:t>4</w:t>
            </w:r>
          </w:p>
        </w:tc>
        <w:tc>
          <w:tcPr>
            <w:tcW w:w="7230" w:type="dxa"/>
            <w:vAlign w:val="center"/>
          </w:tcPr>
          <w:p w:rsidR="00CE4150" w:rsidRPr="002101ED" w:rsidRDefault="00CE4150" w:rsidP="00CE4150">
            <w:pPr>
              <w:spacing w:before="120" w:after="120"/>
              <w:rPr>
                <w:rFonts w:cs="Times New Roman"/>
                <w:szCs w:val="24"/>
                <w:lang w:val="en-US" w:eastAsia="en-GB"/>
              </w:rPr>
            </w:pPr>
          </w:p>
        </w:tc>
        <w:tc>
          <w:tcPr>
            <w:tcW w:w="1275" w:type="dxa"/>
            <w:vAlign w:val="center"/>
          </w:tcPr>
          <w:p w:rsidR="00CE4150" w:rsidRPr="002101ED" w:rsidRDefault="00CE4150" w:rsidP="00CE4150">
            <w:pPr>
              <w:spacing w:before="120" w:after="120"/>
              <w:rPr>
                <w:rFonts w:cs="Times New Roman"/>
                <w:szCs w:val="24"/>
                <w:lang w:val="en-US" w:eastAsia="en-GB"/>
              </w:rPr>
            </w:pPr>
          </w:p>
        </w:tc>
      </w:tr>
      <w:tr w:rsidR="00CE4150" w:rsidRPr="002101ED" w:rsidTr="00637B15">
        <w:trPr>
          <w:trHeight w:val="487"/>
        </w:trPr>
        <w:tc>
          <w:tcPr>
            <w:tcW w:w="675" w:type="dxa"/>
            <w:shd w:val="clear" w:color="auto" w:fill="D9D9D9" w:themeFill="background1" w:themeFillShade="D9"/>
            <w:vAlign w:val="bottom"/>
          </w:tcPr>
          <w:p w:rsidR="00CE4150" w:rsidRPr="002101ED" w:rsidRDefault="00CE4150" w:rsidP="00CE4150">
            <w:pPr>
              <w:spacing w:before="120" w:after="120"/>
              <w:rPr>
                <w:rFonts w:cs="Times New Roman"/>
                <w:szCs w:val="24"/>
                <w:lang w:val="en-US" w:eastAsia="en-GB"/>
              </w:rPr>
            </w:pPr>
          </w:p>
        </w:tc>
        <w:tc>
          <w:tcPr>
            <w:tcW w:w="7230" w:type="dxa"/>
            <w:vAlign w:val="center"/>
          </w:tcPr>
          <w:p w:rsidR="00CE4150" w:rsidRPr="002101ED" w:rsidRDefault="00CE4150" w:rsidP="0006513F">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275" w:type="dxa"/>
            <w:vAlign w:val="center"/>
          </w:tcPr>
          <w:p w:rsidR="00CE4150" w:rsidRPr="002101ED" w:rsidRDefault="00CE4150" w:rsidP="00CE4150">
            <w:pPr>
              <w:spacing w:before="120" w:after="120"/>
              <w:rPr>
                <w:rFonts w:cs="Times New Roman"/>
                <w:b/>
                <w:szCs w:val="24"/>
                <w:lang w:val="en-US" w:eastAsia="en-GB"/>
              </w:rPr>
            </w:pPr>
          </w:p>
        </w:tc>
      </w:tr>
    </w:tbl>
    <w:p w:rsidR="00A919EA" w:rsidRDefault="00A919EA" w:rsidP="00A919EA">
      <w:pPr>
        <w:spacing w:after="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C107E9" w:rsidRDefault="00C107E9" w:rsidP="00F06306">
      <w:pPr>
        <w:spacing w:before="120" w:after="120"/>
        <w:ind w:left="-505"/>
        <w:rPr>
          <w:szCs w:val="24"/>
        </w:rPr>
      </w:pPr>
    </w:p>
    <w:p w:rsidR="00F06306" w:rsidRPr="00FB795F" w:rsidRDefault="00376C4B" w:rsidP="00F06306">
      <w:r>
        <w:t xml:space="preserve">Company Stamp / </w:t>
      </w:r>
      <w:r w:rsidR="00F06306" w:rsidRPr="00FB795F">
        <w:t>Signature:</w:t>
      </w:r>
    </w:p>
    <w:p w:rsidR="007D423D" w:rsidRDefault="007D423D" w:rsidP="007D423D">
      <w:pPr>
        <w:spacing w:after="0"/>
      </w:pPr>
    </w:p>
    <w:p w:rsidR="00AC748F" w:rsidRDefault="00AC748F"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15" w:rsidRDefault="00981515">
      <w:pPr>
        <w:spacing w:after="0"/>
      </w:pPr>
      <w:r>
        <w:separator/>
      </w:r>
    </w:p>
  </w:endnote>
  <w:endnote w:type="continuationSeparator" w:id="0">
    <w:p w:rsidR="00981515" w:rsidRDefault="00981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637B15">
      <w:rPr>
        <w:rFonts w:ascii="Times New Roman" w:hAnsi="Times New Roman"/>
        <w:b/>
        <w:sz w:val="22"/>
        <w:szCs w:val="22"/>
      </w:rPr>
      <w:t>7</w:t>
    </w:r>
    <w:r w:rsidRPr="001601C1">
      <w:rPr>
        <w:rFonts w:ascii="Times New Roman" w:hAnsi="Times New Roman"/>
        <w:b/>
        <w:sz w:val="22"/>
        <w:szCs w:val="22"/>
      </w:rPr>
      <w:t>/CFE/1</w:t>
    </w:r>
    <w:r w:rsidR="000D4B19">
      <w:rPr>
        <w:rFonts w:ascii="Times New Roman" w:hAnsi="Times New Roman"/>
        <w:b/>
        <w:sz w:val="22"/>
        <w:szCs w:val="22"/>
      </w:rPr>
      <w:t>3</w:t>
    </w:r>
    <w:r w:rsidR="00637B15">
      <w:rPr>
        <w:rFonts w:ascii="Times New Roman" w:hAnsi="Times New Roman"/>
        <w:b/>
        <w:sz w:val="22"/>
        <w:szCs w:val="22"/>
      </w:rPr>
      <w:t>758</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613E3">
      <w:rPr>
        <w:rFonts w:ascii="Times New Roman" w:hAnsi="Times New Roman"/>
        <w:b/>
        <w:sz w:val="22"/>
        <w:szCs w:val="22"/>
      </w:rPr>
      <w:t>3</w:t>
    </w:r>
    <w:r w:rsidR="00637B15">
      <w:rPr>
        <w:rFonts w:ascii="Times New Roman" w:hAnsi="Times New Roman"/>
        <w:b/>
        <w:sz w:val="22"/>
        <w:szCs w:val="22"/>
      </w:rPr>
      <w:t>758</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15" w:rsidRDefault="00981515">
      <w:pPr>
        <w:spacing w:after="0"/>
      </w:pPr>
      <w:r>
        <w:separator/>
      </w:r>
    </w:p>
  </w:footnote>
  <w:footnote w:type="continuationSeparator" w:id="0">
    <w:p w:rsidR="00981515" w:rsidRDefault="009815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89" w:rsidRPr="003A7389" w:rsidRDefault="00D844DE" w:rsidP="00D844DE">
    <w:pPr>
      <w:tabs>
        <w:tab w:val="center" w:pos="4153"/>
        <w:tab w:val="right" w:pos="8306"/>
      </w:tabs>
      <w:spacing w:after="0"/>
      <w:jc w:val="center"/>
      <w:rPr>
        <w:b/>
        <w:i/>
        <w:sz w:val="32"/>
        <w:szCs w:val="32"/>
        <w:lang w:val="en-US"/>
      </w:rPr>
    </w:pPr>
    <w:proofErr w:type="spellStart"/>
    <w:r w:rsidRPr="00D844DE">
      <w:rPr>
        <w:b/>
        <w:i/>
        <w:snapToGrid w:val="0"/>
        <w:sz w:val="36"/>
        <w:szCs w:val="36"/>
        <w:lang w:eastAsia="en-US"/>
      </w:rPr>
      <w:t>Neutronics</w:t>
    </w:r>
    <w:proofErr w:type="spellEnd"/>
    <w:r w:rsidRPr="00D844DE">
      <w:rPr>
        <w:b/>
        <w:i/>
        <w:snapToGrid w:val="0"/>
        <w:sz w:val="36"/>
        <w:szCs w:val="36"/>
        <w:lang w:eastAsia="en-US"/>
      </w:rPr>
      <w:t xml:space="preserve"> Analyses</w:t>
    </w: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E" w:rsidRPr="00D844DE" w:rsidRDefault="00D844DE" w:rsidP="00D844DE">
    <w:pPr>
      <w:tabs>
        <w:tab w:val="center" w:pos="4153"/>
        <w:tab w:val="right" w:pos="8306"/>
      </w:tabs>
      <w:spacing w:after="0"/>
      <w:jc w:val="center"/>
      <w:rPr>
        <w:rFonts w:eastAsia="SimSun"/>
        <w:b/>
        <w:i/>
        <w:sz w:val="36"/>
        <w:szCs w:val="36"/>
      </w:rPr>
    </w:pPr>
    <w:proofErr w:type="spellStart"/>
    <w:r w:rsidRPr="00D844DE">
      <w:rPr>
        <w:b/>
        <w:i/>
        <w:snapToGrid w:val="0"/>
        <w:sz w:val="36"/>
        <w:szCs w:val="36"/>
        <w:lang w:eastAsia="en-US"/>
      </w:rPr>
      <w:t>Neutronics</w:t>
    </w:r>
    <w:proofErr w:type="spellEnd"/>
    <w:r w:rsidRPr="00D844DE">
      <w:rPr>
        <w:b/>
        <w:i/>
        <w:snapToGrid w:val="0"/>
        <w:sz w:val="36"/>
        <w:szCs w:val="36"/>
        <w:lang w:eastAsia="en-US"/>
      </w:rPr>
      <w:t xml:space="preserve"> Analyses</w:t>
    </w:r>
  </w:p>
  <w:p w:rsidR="00565BD5" w:rsidRPr="00D844DE" w:rsidRDefault="00565BD5" w:rsidP="00D8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659F"/>
    <w:rsid w:val="00022D24"/>
    <w:rsid w:val="0002591E"/>
    <w:rsid w:val="0006513F"/>
    <w:rsid w:val="000706C9"/>
    <w:rsid w:val="0007468B"/>
    <w:rsid w:val="00083065"/>
    <w:rsid w:val="0008501F"/>
    <w:rsid w:val="00090778"/>
    <w:rsid w:val="0009618B"/>
    <w:rsid w:val="000972D6"/>
    <w:rsid w:val="000A00FE"/>
    <w:rsid w:val="000A3C77"/>
    <w:rsid w:val="000B2EB0"/>
    <w:rsid w:val="000D4B19"/>
    <w:rsid w:val="000E780E"/>
    <w:rsid w:val="00101D8B"/>
    <w:rsid w:val="00104F2C"/>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2101ED"/>
    <w:rsid w:val="00210F8D"/>
    <w:rsid w:val="00226AA4"/>
    <w:rsid w:val="00230397"/>
    <w:rsid w:val="00236FCB"/>
    <w:rsid w:val="002375BE"/>
    <w:rsid w:val="00262045"/>
    <w:rsid w:val="00265CA2"/>
    <w:rsid w:val="00271C87"/>
    <w:rsid w:val="00275355"/>
    <w:rsid w:val="00275B91"/>
    <w:rsid w:val="00286223"/>
    <w:rsid w:val="0028688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94059"/>
    <w:rsid w:val="003A063A"/>
    <w:rsid w:val="003A5D3E"/>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6192"/>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D235E"/>
    <w:rsid w:val="005E11F5"/>
    <w:rsid w:val="005E3473"/>
    <w:rsid w:val="005E574D"/>
    <w:rsid w:val="005F0C29"/>
    <w:rsid w:val="005F53AC"/>
    <w:rsid w:val="00605DA8"/>
    <w:rsid w:val="006115AE"/>
    <w:rsid w:val="00637B15"/>
    <w:rsid w:val="0064203C"/>
    <w:rsid w:val="00652F2C"/>
    <w:rsid w:val="00654907"/>
    <w:rsid w:val="00662E34"/>
    <w:rsid w:val="00674EA9"/>
    <w:rsid w:val="00687EC1"/>
    <w:rsid w:val="00695AA5"/>
    <w:rsid w:val="006A41FE"/>
    <w:rsid w:val="006E3902"/>
    <w:rsid w:val="00731AB7"/>
    <w:rsid w:val="0075223B"/>
    <w:rsid w:val="00756976"/>
    <w:rsid w:val="00767EA2"/>
    <w:rsid w:val="00772F30"/>
    <w:rsid w:val="0078219C"/>
    <w:rsid w:val="00791189"/>
    <w:rsid w:val="007A77F0"/>
    <w:rsid w:val="007C0CC3"/>
    <w:rsid w:val="007D423D"/>
    <w:rsid w:val="007E1B8D"/>
    <w:rsid w:val="008020B7"/>
    <w:rsid w:val="0080486F"/>
    <w:rsid w:val="00806895"/>
    <w:rsid w:val="008143C7"/>
    <w:rsid w:val="008261D6"/>
    <w:rsid w:val="00833423"/>
    <w:rsid w:val="00834E95"/>
    <w:rsid w:val="008613E3"/>
    <w:rsid w:val="00870F6B"/>
    <w:rsid w:val="0088047A"/>
    <w:rsid w:val="00891585"/>
    <w:rsid w:val="008A0226"/>
    <w:rsid w:val="008A23C0"/>
    <w:rsid w:val="008B2FEC"/>
    <w:rsid w:val="008B4A85"/>
    <w:rsid w:val="008C67AC"/>
    <w:rsid w:val="008E173E"/>
    <w:rsid w:val="008F384E"/>
    <w:rsid w:val="008F3A36"/>
    <w:rsid w:val="00900A34"/>
    <w:rsid w:val="0091424B"/>
    <w:rsid w:val="00954ACA"/>
    <w:rsid w:val="00956B32"/>
    <w:rsid w:val="00956FFD"/>
    <w:rsid w:val="00961CB9"/>
    <w:rsid w:val="00975189"/>
    <w:rsid w:val="00976407"/>
    <w:rsid w:val="00977E70"/>
    <w:rsid w:val="00981515"/>
    <w:rsid w:val="00991DE4"/>
    <w:rsid w:val="009945DF"/>
    <w:rsid w:val="0099548B"/>
    <w:rsid w:val="009A3EB9"/>
    <w:rsid w:val="009A4253"/>
    <w:rsid w:val="009C1251"/>
    <w:rsid w:val="009C158F"/>
    <w:rsid w:val="009C6230"/>
    <w:rsid w:val="009D1CD9"/>
    <w:rsid w:val="00A0208D"/>
    <w:rsid w:val="00A05EE2"/>
    <w:rsid w:val="00A10157"/>
    <w:rsid w:val="00A10D50"/>
    <w:rsid w:val="00A138B0"/>
    <w:rsid w:val="00A14675"/>
    <w:rsid w:val="00A328E9"/>
    <w:rsid w:val="00A37D92"/>
    <w:rsid w:val="00A43DC3"/>
    <w:rsid w:val="00A540FE"/>
    <w:rsid w:val="00A556EB"/>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713D5"/>
    <w:rsid w:val="00B8200C"/>
    <w:rsid w:val="00BB280A"/>
    <w:rsid w:val="00BC074C"/>
    <w:rsid w:val="00BC391F"/>
    <w:rsid w:val="00BC5EF3"/>
    <w:rsid w:val="00BD42DF"/>
    <w:rsid w:val="00BD53B0"/>
    <w:rsid w:val="00BD6119"/>
    <w:rsid w:val="00BE013E"/>
    <w:rsid w:val="00BE4875"/>
    <w:rsid w:val="00C0560C"/>
    <w:rsid w:val="00C107E9"/>
    <w:rsid w:val="00C37B55"/>
    <w:rsid w:val="00C44BD6"/>
    <w:rsid w:val="00C54FBE"/>
    <w:rsid w:val="00C630B6"/>
    <w:rsid w:val="00C70E4B"/>
    <w:rsid w:val="00C82806"/>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66E5"/>
    <w:rsid w:val="00D17E3D"/>
    <w:rsid w:val="00D2632B"/>
    <w:rsid w:val="00D33707"/>
    <w:rsid w:val="00D33EFE"/>
    <w:rsid w:val="00D570F2"/>
    <w:rsid w:val="00D57FC1"/>
    <w:rsid w:val="00D82AA0"/>
    <w:rsid w:val="00D844DE"/>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104F2C"/>
    <w:pPr>
      <w:keepNext w:val="0"/>
      <w:keepLines w:val="0"/>
      <w:tabs>
        <w:tab w:val="left" w:pos="1701"/>
        <w:tab w:val="left" w:pos="2552"/>
      </w:tabs>
      <w:spacing w:before="0"/>
      <w:jc w:val="center"/>
      <w:outlineLvl w:val="9"/>
    </w:pPr>
    <w:rPr>
      <w:rFonts w:ascii="Times New Roman" w:hAnsi="Times New Roman"/>
      <w:bCs w:val="0"/>
      <w:caps/>
      <w:color w:val="auto"/>
      <w:sz w:val="24"/>
      <w:szCs w:val="24"/>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104F2C"/>
    <w:pPr>
      <w:keepNext w:val="0"/>
      <w:keepLines w:val="0"/>
      <w:tabs>
        <w:tab w:val="left" w:pos="1701"/>
        <w:tab w:val="left" w:pos="2552"/>
      </w:tabs>
      <w:spacing w:before="0"/>
      <w:jc w:val="center"/>
      <w:outlineLvl w:val="9"/>
    </w:pPr>
    <w:rPr>
      <w:rFonts w:ascii="Times New Roman" w:hAnsi="Times New Roman"/>
      <w:bCs w:val="0"/>
      <w:caps/>
      <w:color w:val="auto"/>
      <w:sz w:val="24"/>
      <w:szCs w:val="24"/>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112</cp:revision>
  <cp:lastPrinted>2016-04-25T08:45:00Z</cp:lastPrinted>
  <dcterms:created xsi:type="dcterms:W3CDTF">2013-03-08T15:54:00Z</dcterms:created>
  <dcterms:modified xsi:type="dcterms:W3CDTF">2017-01-25T17:56:00Z</dcterms:modified>
</cp:coreProperties>
</file>