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C141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C65007">
              <w:rPr>
                <w:b/>
                <w:sz w:val="28"/>
                <w:szCs w:val="28"/>
              </w:rPr>
              <w:t>1</w:t>
            </w:r>
            <w:r w:rsidR="00C141F8">
              <w:rPr>
                <w:b/>
                <w:sz w:val="28"/>
                <w:szCs w:val="28"/>
              </w:rPr>
              <w:t>001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CE6F1A" w:rsidRDefault="00CE6F1A" w:rsidP="0091424B">
      <w:pPr>
        <w:pStyle w:val="Annexetitle"/>
        <w:pageBreakBefore w:val="0"/>
      </w:pPr>
    </w:p>
    <w:p w:rsidR="0091424B" w:rsidRDefault="0091424B" w:rsidP="0091424B">
      <w:pPr>
        <w:pStyle w:val="Annexetitle"/>
        <w:pageBreakBefore w:val="0"/>
      </w:pPr>
      <w:r w:rsidRPr="00155605">
        <w:t>FINANCIAL PROPOSAL</w:t>
      </w:r>
    </w:p>
    <w:p w:rsidR="00F76762" w:rsidRPr="00F76762" w:rsidRDefault="00F76762" w:rsidP="00F76762"/>
    <w:p w:rsidR="002C505F" w:rsidRPr="002C505F" w:rsidRDefault="002C505F" w:rsidP="00F76762">
      <w:pPr>
        <w:autoSpaceDE w:val="0"/>
        <w:autoSpaceDN w:val="0"/>
        <w:adjustRightInd w:val="0"/>
        <w:spacing w:after="0"/>
        <w:rPr>
          <w:rFonts w:ascii="Garamond" w:eastAsia="Calibri" w:hAnsi="Garamond" w:cs="TimesNewRomanPSMT"/>
          <w:szCs w:val="24"/>
        </w:rPr>
      </w:pPr>
      <w:r w:rsidRPr="002C505F">
        <w:rPr>
          <w:rFonts w:ascii="Garamond" w:eastAsia="Calibri" w:hAnsi="Garamond" w:cs="TimesNewRomanPSMT"/>
          <w:szCs w:val="24"/>
        </w:rPr>
        <w:t>The deliverables of this contract are reports describing the statement of each problem, input</w:t>
      </w:r>
    </w:p>
    <w:p w:rsidR="00FB09FB" w:rsidRDefault="002C505F" w:rsidP="00F76762">
      <w:pPr>
        <w:autoSpaceDE w:val="0"/>
        <w:autoSpaceDN w:val="0"/>
        <w:adjustRightInd w:val="0"/>
        <w:spacing w:after="0"/>
        <w:rPr>
          <w:rFonts w:ascii="Garamond" w:eastAsia="Calibri" w:hAnsi="Garamond" w:cs="TimesNewRomanPSMT"/>
          <w:szCs w:val="24"/>
        </w:rPr>
      </w:pPr>
      <w:proofErr w:type="gramStart"/>
      <w:r w:rsidRPr="002C505F">
        <w:rPr>
          <w:rFonts w:ascii="Garamond" w:eastAsia="Calibri" w:hAnsi="Garamond" w:cs="TimesNewRomanPSMT"/>
          <w:szCs w:val="24"/>
        </w:rPr>
        <w:t>data</w:t>
      </w:r>
      <w:proofErr w:type="gramEnd"/>
      <w:r w:rsidRPr="002C505F">
        <w:rPr>
          <w:rFonts w:ascii="Garamond" w:eastAsia="Calibri" w:hAnsi="Garamond" w:cs="TimesNewRomanPSMT"/>
          <w:szCs w:val="24"/>
        </w:rPr>
        <w:t xml:space="preserve"> and approximations used in the studies and the results obtained. Two intermediate reports</w:t>
      </w:r>
      <w:r>
        <w:rPr>
          <w:rFonts w:ascii="Garamond" w:eastAsia="Calibri" w:hAnsi="Garamond" w:cs="TimesNewRomanPSMT"/>
          <w:szCs w:val="24"/>
        </w:rPr>
        <w:t xml:space="preserve"> </w:t>
      </w:r>
      <w:r w:rsidRPr="002C505F">
        <w:rPr>
          <w:rFonts w:ascii="Garamond" w:eastAsia="Calibri" w:hAnsi="Garamond" w:cs="TimesNewRomanPSMT"/>
          <w:szCs w:val="24"/>
        </w:rPr>
        <w:t>shall be delivered at 4 months and 8 months from the date of signature of the contract. The</w:t>
      </w:r>
      <w:r>
        <w:rPr>
          <w:rFonts w:ascii="Garamond" w:eastAsia="Calibri" w:hAnsi="Garamond" w:cs="TimesNewRomanPSMT"/>
          <w:szCs w:val="24"/>
        </w:rPr>
        <w:t xml:space="preserve"> </w:t>
      </w:r>
      <w:r w:rsidRPr="002C505F">
        <w:rPr>
          <w:rFonts w:ascii="Garamond" w:eastAsia="Calibri" w:hAnsi="Garamond" w:cs="TimesNewRomanPSMT"/>
          <w:szCs w:val="24"/>
        </w:rPr>
        <w:t>Final Report shall be delivered at 12 months from the date of signature of the contract. The</w:t>
      </w:r>
      <w:r>
        <w:rPr>
          <w:rFonts w:ascii="Garamond" w:eastAsia="Calibri" w:hAnsi="Garamond" w:cs="TimesNewRomanPSMT"/>
          <w:szCs w:val="24"/>
        </w:rPr>
        <w:t xml:space="preserve"> </w:t>
      </w:r>
      <w:r w:rsidRPr="002C505F">
        <w:rPr>
          <w:rFonts w:ascii="Garamond" w:eastAsia="Calibri" w:hAnsi="Garamond" w:cs="TimesNewRomanPSMT"/>
          <w:szCs w:val="24"/>
        </w:rPr>
        <w:t xml:space="preserve">overall content of the deliverables in this contract are detailed </w:t>
      </w:r>
      <w:r>
        <w:rPr>
          <w:rFonts w:ascii="Garamond" w:eastAsia="Calibri" w:hAnsi="Garamond" w:cs="TimesNewRomanPSMT"/>
          <w:szCs w:val="24"/>
        </w:rPr>
        <w:t>the technical Specification PVHYAE.</w:t>
      </w:r>
      <w:r w:rsidR="00CD22E0">
        <w:rPr>
          <w:rFonts w:ascii="Garamond" w:eastAsia="Calibri" w:hAnsi="Garamond" w:cs="TimesNewRomanPSMT"/>
          <w:szCs w:val="24"/>
        </w:rPr>
        <w:t xml:space="preserve"> A total of 120 working days are envisaged to complete this work.</w:t>
      </w:r>
    </w:p>
    <w:p w:rsidR="002C505F" w:rsidRPr="002C505F" w:rsidRDefault="002C505F" w:rsidP="002C505F">
      <w:pPr>
        <w:autoSpaceDE w:val="0"/>
        <w:autoSpaceDN w:val="0"/>
        <w:adjustRightInd w:val="0"/>
        <w:spacing w:after="0"/>
        <w:rPr>
          <w:rFonts w:ascii="Garamond" w:hAnsi="Garamond"/>
          <w:b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35"/>
        <w:gridCol w:w="3118"/>
        <w:gridCol w:w="1985"/>
        <w:gridCol w:w="1808"/>
      </w:tblGrid>
      <w:tr w:rsidR="002C505F" w:rsidTr="00C118F9">
        <w:trPr>
          <w:trHeight w:val="316"/>
        </w:trPr>
        <w:tc>
          <w:tcPr>
            <w:tcW w:w="2235" w:type="dxa"/>
          </w:tcPr>
          <w:p w:rsidR="002C505F" w:rsidRDefault="002C505F" w:rsidP="002C505F">
            <w:pPr>
              <w:spacing w:before="24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Deliverable</w:t>
            </w:r>
          </w:p>
        </w:tc>
        <w:tc>
          <w:tcPr>
            <w:tcW w:w="3118" w:type="dxa"/>
          </w:tcPr>
          <w:p w:rsidR="002C505F" w:rsidRDefault="002C505F" w:rsidP="002C505F">
            <w:pPr>
              <w:spacing w:before="24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1985" w:type="dxa"/>
          </w:tcPr>
          <w:p w:rsidR="002C505F" w:rsidRDefault="002C505F" w:rsidP="002C505F">
            <w:pPr>
              <w:spacing w:before="24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1808" w:type="dxa"/>
          </w:tcPr>
          <w:p w:rsidR="002C505F" w:rsidRDefault="009935A6" w:rsidP="002C505F">
            <w:pPr>
              <w:spacing w:before="24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€ </w:t>
            </w:r>
            <w:r w:rsidR="002C505F">
              <w:rPr>
                <w:b/>
                <w:szCs w:val="24"/>
              </w:rPr>
              <w:t>Price</w:t>
            </w:r>
          </w:p>
        </w:tc>
      </w:tr>
      <w:tr w:rsidR="002C505F" w:rsidTr="00C118F9">
        <w:tc>
          <w:tcPr>
            <w:tcW w:w="2235" w:type="dxa"/>
          </w:tcPr>
          <w:p w:rsidR="002C505F" w:rsidRPr="002C505F" w:rsidRDefault="002C505F" w:rsidP="00C118F9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 w:rsidRPr="002C505F">
              <w:rPr>
                <w:rFonts w:ascii="Garamond" w:hAnsi="Garamond"/>
                <w:szCs w:val="24"/>
              </w:rPr>
              <w:t xml:space="preserve">First </w:t>
            </w:r>
            <w:r>
              <w:rPr>
                <w:rFonts w:ascii="Garamond" w:hAnsi="Garamond"/>
                <w:szCs w:val="24"/>
              </w:rPr>
              <w:t>Intermediate R</w:t>
            </w:r>
            <w:r w:rsidRPr="002C505F">
              <w:rPr>
                <w:rFonts w:ascii="Garamond" w:hAnsi="Garamond"/>
                <w:szCs w:val="24"/>
              </w:rPr>
              <w:t>eport</w:t>
            </w:r>
          </w:p>
        </w:tc>
        <w:tc>
          <w:tcPr>
            <w:tcW w:w="3118" w:type="dxa"/>
            <w:vAlign w:val="center"/>
          </w:tcPr>
          <w:p w:rsidR="002C505F" w:rsidRPr="002C505F" w:rsidRDefault="002C505F" w:rsidP="00C118F9">
            <w:pPr>
              <w:spacing w:before="120" w:after="120"/>
              <w:jc w:val="left"/>
              <w:rPr>
                <w:rFonts w:ascii="Garamond" w:hAnsi="Garamond"/>
                <w:szCs w:val="24"/>
              </w:rPr>
            </w:pPr>
            <w:r w:rsidRPr="002C505F">
              <w:rPr>
                <w:rFonts w:ascii="Garamond" w:hAnsi="Garamond"/>
                <w:szCs w:val="24"/>
              </w:rPr>
              <w:t>Initial results on task 1</w:t>
            </w:r>
          </w:p>
        </w:tc>
        <w:tc>
          <w:tcPr>
            <w:tcW w:w="1985" w:type="dxa"/>
            <w:vAlign w:val="center"/>
          </w:tcPr>
          <w:p w:rsidR="002C505F" w:rsidRDefault="002C505F" w:rsidP="00C118F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</w:rPr>
            </w:pPr>
            <w:r w:rsidRPr="002C505F">
              <w:rPr>
                <w:rFonts w:ascii="Garamond" w:eastAsia="Calibri" w:hAnsi="Garamond" w:cs="TimesNewRomanPSMT"/>
                <w:szCs w:val="24"/>
              </w:rPr>
              <w:t>4 months after</w:t>
            </w:r>
            <w:r>
              <w:rPr>
                <w:rFonts w:ascii="Garamond" w:eastAsia="Calibri" w:hAnsi="Garamond" w:cs="TimesNewRomanPSMT"/>
                <w:szCs w:val="24"/>
              </w:rPr>
              <w:t xml:space="preserve"> </w:t>
            </w:r>
            <w:r w:rsidRPr="002C505F">
              <w:rPr>
                <w:rFonts w:ascii="Garamond" w:eastAsia="Calibri" w:hAnsi="Garamond" w:cs="TimesNewRomanPSMT"/>
                <w:szCs w:val="24"/>
              </w:rPr>
              <w:t>contract signature</w:t>
            </w:r>
          </w:p>
        </w:tc>
        <w:tc>
          <w:tcPr>
            <w:tcW w:w="1808" w:type="dxa"/>
          </w:tcPr>
          <w:p w:rsidR="002C505F" w:rsidRDefault="002C505F" w:rsidP="0091424B">
            <w:pPr>
              <w:spacing w:before="240" w:after="120"/>
              <w:jc w:val="left"/>
              <w:rPr>
                <w:b/>
                <w:szCs w:val="24"/>
              </w:rPr>
            </w:pPr>
          </w:p>
        </w:tc>
      </w:tr>
      <w:tr w:rsidR="002C505F" w:rsidTr="00C118F9">
        <w:tc>
          <w:tcPr>
            <w:tcW w:w="2235" w:type="dxa"/>
          </w:tcPr>
          <w:p w:rsidR="002C505F" w:rsidRPr="002C505F" w:rsidRDefault="002C505F" w:rsidP="00C118F9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 w:rsidRPr="002C505F">
              <w:rPr>
                <w:rFonts w:ascii="Garamond" w:hAnsi="Garamond"/>
                <w:szCs w:val="24"/>
              </w:rPr>
              <w:t>Second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2C505F">
              <w:rPr>
                <w:rFonts w:ascii="Garamond" w:hAnsi="Garamond"/>
                <w:szCs w:val="24"/>
              </w:rPr>
              <w:t xml:space="preserve">Intermediate </w:t>
            </w:r>
            <w:r>
              <w:rPr>
                <w:rFonts w:ascii="Garamond" w:hAnsi="Garamond"/>
                <w:szCs w:val="24"/>
              </w:rPr>
              <w:t>R</w:t>
            </w:r>
            <w:r w:rsidRPr="002C505F">
              <w:rPr>
                <w:rFonts w:ascii="Garamond" w:hAnsi="Garamond"/>
                <w:szCs w:val="24"/>
              </w:rPr>
              <w:t>eport</w:t>
            </w:r>
          </w:p>
        </w:tc>
        <w:tc>
          <w:tcPr>
            <w:tcW w:w="3118" w:type="dxa"/>
            <w:vAlign w:val="center"/>
          </w:tcPr>
          <w:p w:rsidR="002C505F" w:rsidRPr="00C118F9" w:rsidRDefault="00C118F9" w:rsidP="00C118F9">
            <w:pPr>
              <w:spacing w:before="120" w:after="120"/>
              <w:jc w:val="left"/>
              <w:rPr>
                <w:rFonts w:ascii="Garamond" w:hAnsi="Garamond"/>
                <w:b/>
                <w:szCs w:val="24"/>
              </w:rPr>
            </w:pPr>
            <w:r w:rsidRPr="00C118F9">
              <w:rPr>
                <w:rFonts w:ascii="Garamond" w:eastAsia="Calibri" w:hAnsi="Garamond" w:cs="TimesNewRomanPSMT"/>
                <w:szCs w:val="24"/>
              </w:rPr>
              <w:t>Final results on task 1</w:t>
            </w:r>
          </w:p>
        </w:tc>
        <w:tc>
          <w:tcPr>
            <w:tcW w:w="1985" w:type="dxa"/>
            <w:vAlign w:val="center"/>
          </w:tcPr>
          <w:p w:rsidR="002C505F" w:rsidRPr="00C118F9" w:rsidRDefault="00C118F9" w:rsidP="00C11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Cs w:val="24"/>
              </w:rPr>
            </w:pPr>
            <w:r w:rsidRPr="00C118F9">
              <w:rPr>
                <w:rFonts w:ascii="Garamond" w:eastAsia="Calibri" w:hAnsi="Garamond" w:cs="TimesNewRomanPSMT"/>
                <w:szCs w:val="24"/>
              </w:rPr>
              <w:t>8 months after</w:t>
            </w:r>
            <w:r>
              <w:rPr>
                <w:rFonts w:ascii="Garamond" w:eastAsia="Calibri" w:hAnsi="Garamond" w:cs="TimesNewRomanPSMT"/>
                <w:szCs w:val="24"/>
              </w:rPr>
              <w:t xml:space="preserve"> </w:t>
            </w:r>
            <w:r w:rsidRPr="00C118F9">
              <w:rPr>
                <w:rFonts w:ascii="Garamond" w:eastAsia="Calibri" w:hAnsi="Garamond" w:cs="TimesNewRomanPSMT"/>
                <w:szCs w:val="24"/>
              </w:rPr>
              <w:t>contract signature</w:t>
            </w:r>
          </w:p>
        </w:tc>
        <w:tc>
          <w:tcPr>
            <w:tcW w:w="1808" w:type="dxa"/>
          </w:tcPr>
          <w:p w:rsidR="002C505F" w:rsidRDefault="002C505F" w:rsidP="0091424B">
            <w:pPr>
              <w:spacing w:before="240" w:after="120"/>
              <w:jc w:val="left"/>
              <w:rPr>
                <w:b/>
                <w:szCs w:val="24"/>
              </w:rPr>
            </w:pPr>
          </w:p>
        </w:tc>
      </w:tr>
      <w:tr w:rsidR="002C505F" w:rsidTr="00C118F9">
        <w:tc>
          <w:tcPr>
            <w:tcW w:w="2235" w:type="dxa"/>
            <w:vAlign w:val="center"/>
          </w:tcPr>
          <w:p w:rsidR="002C505F" w:rsidRPr="00C118F9" w:rsidRDefault="00C118F9" w:rsidP="00C118F9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r w:rsidRPr="00C118F9">
              <w:rPr>
                <w:rFonts w:ascii="Garamond" w:hAnsi="Garamond"/>
                <w:szCs w:val="24"/>
              </w:rPr>
              <w:t>Final Report</w:t>
            </w:r>
          </w:p>
        </w:tc>
        <w:tc>
          <w:tcPr>
            <w:tcW w:w="3118" w:type="dxa"/>
            <w:vAlign w:val="center"/>
          </w:tcPr>
          <w:p w:rsidR="002C505F" w:rsidRPr="00C118F9" w:rsidRDefault="00C118F9" w:rsidP="00C118F9">
            <w:pPr>
              <w:spacing w:before="120" w:after="120"/>
              <w:jc w:val="left"/>
              <w:rPr>
                <w:rFonts w:ascii="Garamond" w:hAnsi="Garamond"/>
                <w:szCs w:val="24"/>
              </w:rPr>
            </w:pPr>
            <w:r w:rsidRPr="00C118F9">
              <w:rPr>
                <w:rFonts w:ascii="Garamond" w:hAnsi="Garamond"/>
                <w:szCs w:val="24"/>
              </w:rPr>
              <w:t>Final results on task 2</w:t>
            </w:r>
          </w:p>
        </w:tc>
        <w:tc>
          <w:tcPr>
            <w:tcW w:w="1985" w:type="dxa"/>
            <w:vAlign w:val="center"/>
          </w:tcPr>
          <w:p w:rsidR="002C505F" w:rsidRDefault="00C118F9" w:rsidP="00C118F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</w:rPr>
            </w:pPr>
            <w:r w:rsidRPr="00C118F9">
              <w:rPr>
                <w:rFonts w:ascii="Garamond" w:eastAsia="Calibri" w:hAnsi="Garamond" w:cs="TimesNewRomanPSMT"/>
                <w:szCs w:val="24"/>
              </w:rPr>
              <w:t>12 months after</w:t>
            </w:r>
            <w:r>
              <w:rPr>
                <w:rFonts w:ascii="Garamond" w:eastAsia="Calibri" w:hAnsi="Garamond" w:cs="TimesNewRomanPSMT"/>
                <w:szCs w:val="24"/>
              </w:rPr>
              <w:t xml:space="preserve"> </w:t>
            </w:r>
            <w:r w:rsidRPr="00C118F9">
              <w:rPr>
                <w:rFonts w:ascii="Garamond" w:eastAsia="Calibri" w:hAnsi="Garamond" w:cs="TimesNewRomanPSMT"/>
                <w:szCs w:val="24"/>
              </w:rPr>
              <w:t>contract signature</w:t>
            </w:r>
          </w:p>
        </w:tc>
        <w:tc>
          <w:tcPr>
            <w:tcW w:w="1808" w:type="dxa"/>
          </w:tcPr>
          <w:p w:rsidR="002C505F" w:rsidRDefault="002C505F" w:rsidP="0091424B">
            <w:pPr>
              <w:spacing w:before="240" w:after="120"/>
              <w:jc w:val="left"/>
              <w:rPr>
                <w:b/>
                <w:szCs w:val="24"/>
              </w:rPr>
            </w:pPr>
          </w:p>
        </w:tc>
      </w:tr>
    </w:tbl>
    <w:p w:rsidR="00CE6F1A" w:rsidRDefault="00CE6F1A" w:rsidP="00CE6F1A">
      <w:pPr>
        <w:autoSpaceDE w:val="0"/>
        <w:autoSpaceDN w:val="0"/>
        <w:adjustRightInd w:val="0"/>
        <w:spacing w:after="0"/>
        <w:rPr>
          <w:rFonts w:ascii="Garamond" w:eastAsia="Calibri" w:hAnsi="Garamond" w:cs="TimesNewRomanPSMT"/>
          <w:szCs w:val="24"/>
        </w:rPr>
      </w:pPr>
    </w:p>
    <w:p w:rsidR="00CE6F1A" w:rsidRDefault="00CE6F1A" w:rsidP="00CE6F1A">
      <w:pPr>
        <w:autoSpaceDE w:val="0"/>
        <w:autoSpaceDN w:val="0"/>
        <w:adjustRightInd w:val="0"/>
        <w:spacing w:after="0"/>
        <w:rPr>
          <w:rFonts w:ascii="Garamond" w:eastAsia="Calibri" w:hAnsi="Garamond" w:cs="TimesNewRomanPSMT"/>
          <w:szCs w:val="24"/>
        </w:rPr>
      </w:pPr>
      <w:r w:rsidRPr="002C505F">
        <w:rPr>
          <w:rFonts w:ascii="Garamond" w:eastAsia="Calibri" w:hAnsi="Garamond" w:cs="TimesNewRomanPSMT"/>
          <w:szCs w:val="24"/>
        </w:rPr>
        <w:t>The</w:t>
      </w:r>
      <w:r>
        <w:rPr>
          <w:rFonts w:ascii="Garamond" w:eastAsia="Calibri" w:hAnsi="Garamond" w:cs="TimesNewRomanPSMT"/>
          <w:szCs w:val="24"/>
        </w:rPr>
        <w:t xml:space="preserve"> </w:t>
      </w:r>
      <w:r w:rsidRPr="002C505F">
        <w:rPr>
          <w:rFonts w:ascii="Garamond" w:eastAsia="Calibri" w:hAnsi="Garamond" w:cs="TimesNewRomanPSMT"/>
          <w:szCs w:val="24"/>
        </w:rPr>
        <w:t xml:space="preserve">overall content of the deliverables in this contract are detailed </w:t>
      </w:r>
      <w:r>
        <w:rPr>
          <w:rFonts w:ascii="Garamond" w:eastAsia="Calibri" w:hAnsi="Garamond" w:cs="TimesNewRomanPSMT"/>
          <w:szCs w:val="24"/>
        </w:rPr>
        <w:t>the technical Specification PVHYAE. A total of 120 working days are envisaged to complete this work.</w:t>
      </w:r>
    </w:p>
    <w:p w:rsidR="00415655" w:rsidRDefault="00CE6F1A" w:rsidP="003E747F">
      <w:pPr>
        <w:spacing w:before="120" w:after="120"/>
        <w:ind w:left="-148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0706C9">
        <w:rPr>
          <w:rFonts w:ascii="Garamond" w:hAnsi="Garamond"/>
          <w:szCs w:val="24"/>
        </w:rPr>
        <w:t xml:space="preserve">OFF/SITE means the services </w:t>
      </w:r>
      <w:r w:rsidR="009935A6">
        <w:rPr>
          <w:rFonts w:ascii="Garamond" w:hAnsi="Garamond"/>
          <w:szCs w:val="24"/>
        </w:rPr>
        <w:t>may</w:t>
      </w:r>
      <w:r w:rsidR="000706C9">
        <w:rPr>
          <w:rFonts w:ascii="Garamond" w:hAnsi="Garamond"/>
          <w:szCs w:val="24"/>
        </w:rPr>
        <w:t xml:space="preserve"> be supplied from the contactors home/office site. </w:t>
      </w:r>
    </w:p>
    <w:p w:rsidR="009935A6" w:rsidRPr="00415655" w:rsidRDefault="009935A6" w:rsidP="009935A6">
      <w:pPr>
        <w:spacing w:before="120" w:after="120"/>
        <w:ind w:left="-148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>N</w:t>
      </w:r>
      <w:r>
        <w:rPr>
          <w:rFonts w:ascii="Garamond" w:hAnsi="Garamond"/>
          <w:szCs w:val="24"/>
        </w:rPr>
        <w:t xml:space="preserve">/SITE means the services </w:t>
      </w:r>
      <w:r>
        <w:rPr>
          <w:rFonts w:ascii="Garamond" w:hAnsi="Garamond"/>
          <w:szCs w:val="24"/>
        </w:rPr>
        <w:t>are to be</w:t>
      </w:r>
      <w:r>
        <w:rPr>
          <w:rFonts w:ascii="Garamond" w:hAnsi="Garamond"/>
          <w:szCs w:val="24"/>
        </w:rPr>
        <w:t xml:space="preserve"> supplied </w:t>
      </w:r>
      <w:r>
        <w:rPr>
          <w:rFonts w:ascii="Garamond" w:hAnsi="Garamond"/>
          <w:szCs w:val="24"/>
        </w:rPr>
        <w:t>at the ITER</w:t>
      </w:r>
      <w:r>
        <w:rPr>
          <w:rFonts w:ascii="Garamond" w:hAnsi="Garamond"/>
          <w:szCs w:val="24"/>
        </w:rPr>
        <w:t xml:space="preserve"> site. </w:t>
      </w:r>
    </w:p>
    <w:p w:rsidR="00CE6F1A" w:rsidRDefault="00CE6F1A" w:rsidP="00CE6F1A">
      <w:pPr>
        <w:spacing w:after="0"/>
        <w:ind w:left="-14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0706C9" w:rsidRPr="0091424B">
        <w:rPr>
          <w:rFonts w:ascii="Garamond" w:hAnsi="Garamond"/>
          <w:szCs w:val="24"/>
        </w:rPr>
        <w:t xml:space="preserve">Daily fee rates </w:t>
      </w:r>
      <w:r w:rsidR="000706C9"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 </w:t>
      </w:r>
    </w:p>
    <w:p w:rsidR="000706C9" w:rsidRDefault="00CE6F1A" w:rsidP="00CE6F1A">
      <w:pPr>
        <w:spacing w:after="0"/>
        <w:ind w:left="-14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proofErr w:type="gramStart"/>
      <w:r w:rsidR="000706C9">
        <w:rPr>
          <w:rFonts w:ascii="Garamond" w:hAnsi="Garamond"/>
          <w:szCs w:val="24"/>
        </w:rPr>
        <w:t>travel</w:t>
      </w:r>
      <w:proofErr w:type="gramEnd"/>
      <w:r w:rsidR="000706C9">
        <w:rPr>
          <w:rFonts w:ascii="Garamond" w:hAnsi="Garamond"/>
          <w:szCs w:val="24"/>
        </w:rPr>
        <w:t xml:space="preserve">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696BDD" w:rsidRDefault="00696BDD" w:rsidP="00834E95"/>
    <w:p w:rsidR="00834E95" w:rsidRDefault="00834E95" w:rsidP="00834E95">
      <w:r>
        <w:t>Signature:</w:t>
      </w:r>
      <w:bookmarkStart w:id="0" w:name="_GoBack"/>
      <w:bookmarkEnd w:id="0"/>
    </w:p>
    <w:p w:rsidR="00834E95" w:rsidRDefault="00834E95" w:rsidP="00834E95"/>
    <w:p w:rsidR="008C5D89" w:rsidRDefault="008C5D89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EA" w:rsidRDefault="00563AEA">
      <w:pPr>
        <w:spacing w:after="0"/>
      </w:pPr>
      <w:r>
        <w:separator/>
      </w:r>
    </w:p>
  </w:endnote>
  <w:endnote w:type="continuationSeparator" w:id="0">
    <w:p w:rsidR="00563AEA" w:rsidRDefault="00563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EA" w:rsidRDefault="00563AEA">
      <w:pPr>
        <w:spacing w:after="0"/>
      </w:pPr>
      <w:r>
        <w:separator/>
      </w:r>
    </w:p>
  </w:footnote>
  <w:footnote w:type="continuationSeparator" w:id="0">
    <w:p w:rsidR="00563AEA" w:rsidRDefault="00563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F8" w:rsidRDefault="00C141F8" w:rsidP="00C141F8">
    <w:pPr>
      <w:pStyle w:val="Header"/>
      <w:jc w:val="center"/>
      <w:rPr>
        <w:b/>
      </w:rPr>
    </w:pPr>
    <w:r w:rsidRPr="00C141F8">
      <w:rPr>
        <w:b/>
      </w:rPr>
      <w:t xml:space="preserve">Physics-based transport modelling of main species particle and energy transport in </w:t>
    </w:r>
    <w:r>
      <w:rPr>
        <w:b/>
      </w:rPr>
      <w:t>t</w:t>
    </w:r>
    <w:r w:rsidRPr="00C141F8">
      <w:rPr>
        <w:b/>
      </w:rPr>
      <w:t>he core plasma of ITER reference scenarios during stationary</w:t>
    </w:r>
    <w:r>
      <w:rPr>
        <w:b/>
      </w:rPr>
      <w:t xml:space="preserve"> </w:t>
    </w:r>
    <w:r w:rsidRPr="00C141F8">
      <w:rPr>
        <w:b/>
      </w:rPr>
      <w:t>phases</w:t>
    </w:r>
  </w:p>
  <w:p w:rsidR="00C141F8" w:rsidRPr="00C141F8" w:rsidRDefault="00C141F8" w:rsidP="00C141F8">
    <w:pPr>
      <w:pStyle w:val="Header"/>
      <w:jc w:val="center"/>
      <w:rPr>
        <w:b/>
        <w:lang w:val="en-US"/>
      </w:rPr>
    </w:pPr>
    <w:r w:rsidRPr="00C141F8">
      <w:rPr>
        <w:b/>
      </w:rPr>
      <w:t xml:space="preserve"> </w:t>
    </w:r>
    <w:proofErr w:type="gramStart"/>
    <w:r w:rsidRPr="00C141F8">
      <w:rPr>
        <w:b/>
      </w:rPr>
      <w:t>and</w:t>
    </w:r>
    <w:proofErr w:type="gramEnd"/>
    <w:r w:rsidRPr="00C141F8">
      <w:rPr>
        <w:b/>
      </w:rPr>
      <w:t xml:space="preserve"> post-pellet transients</w:t>
    </w:r>
  </w:p>
  <w:p w:rsidR="004A521B" w:rsidRPr="00C141F8" w:rsidRDefault="004A521B" w:rsidP="00C14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1891"/>
    <w:rsid w:val="00162E82"/>
    <w:rsid w:val="00164E7F"/>
    <w:rsid w:val="00170557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0EA5"/>
    <w:rsid w:val="002C2777"/>
    <w:rsid w:val="002C505F"/>
    <w:rsid w:val="002F7447"/>
    <w:rsid w:val="0031159C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E747F"/>
    <w:rsid w:val="003F59AD"/>
    <w:rsid w:val="003F66AB"/>
    <w:rsid w:val="00415655"/>
    <w:rsid w:val="00440932"/>
    <w:rsid w:val="0044589B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63AEA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96BDD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5D89"/>
    <w:rsid w:val="008C67AC"/>
    <w:rsid w:val="008E173E"/>
    <w:rsid w:val="0091424B"/>
    <w:rsid w:val="00975189"/>
    <w:rsid w:val="00976407"/>
    <w:rsid w:val="00977E70"/>
    <w:rsid w:val="00991DE4"/>
    <w:rsid w:val="009935A6"/>
    <w:rsid w:val="009A4253"/>
    <w:rsid w:val="009C6230"/>
    <w:rsid w:val="00A11165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C118F9"/>
    <w:rsid w:val="00C141F8"/>
    <w:rsid w:val="00C37B55"/>
    <w:rsid w:val="00C44BD6"/>
    <w:rsid w:val="00C54FBE"/>
    <w:rsid w:val="00C630B6"/>
    <w:rsid w:val="00C65007"/>
    <w:rsid w:val="00C87270"/>
    <w:rsid w:val="00CA28D3"/>
    <w:rsid w:val="00CA35BA"/>
    <w:rsid w:val="00CB001B"/>
    <w:rsid w:val="00CB05B2"/>
    <w:rsid w:val="00CB394C"/>
    <w:rsid w:val="00CB60C3"/>
    <w:rsid w:val="00CD22E0"/>
    <w:rsid w:val="00CD26BE"/>
    <w:rsid w:val="00CE6F1A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76762"/>
    <w:rsid w:val="00F825AE"/>
    <w:rsid w:val="00FA33A8"/>
    <w:rsid w:val="00FB09FB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42</cp:revision>
  <cp:lastPrinted>2014-09-05T14:25:00Z</cp:lastPrinted>
  <dcterms:created xsi:type="dcterms:W3CDTF">2013-03-08T15:54:00Z</dcterms:created>
  <dcterms:modified xsi:type="dcterms:W3CDTF">2014-09-22T09:30:00Z</dcterms:modified>
</cp:coreProperties>
</file>